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 w:after="240"/>
      </w:pPr>
      <w:r>
        <w:rPr>
          <w:rFonts w:ascii="Liberation Sans" w:hAnsi="Liberation Sans" w:eastAsia="Liberation Sans"/>
          <w:b/>
          <w:color w:val="1F6FEB"/>
          <w:sz w:val="18"/>
        </w:rPr>
        <w:t>CALMA AI · PÉREZ &amp; BURGOS ABOGADOS</w:t>
      </w:r>
    </w:p>
    <w:p>
      <w:pPr>
        <w:pStyle w:val="Title"/>
      </w:pPr>
      <w:r>
        <w:rPr>
          <w:rFonts w:ascii="Liberation Sans" w:hAnsi="Liberation Sans" w:eastAsia="Liberation Sans"/>
          <w:b w:val="0"/>
        </w:rPr>
        <w:t>Modelo de solicitud de ejecución del monitorio laboral sin oposición</w:t>
      </w:r>
    </w:p>
    <w:p>
      <w:pPr>
        <w:spacing w:after="280"/>
      </w:pPr>
      <w:r>
        <w:rPr>
          <w:rFonts w:ascii="Liberation Sans" w:hAnsi="Liberation Sans" w:eastAsia="Liberation Sans"/>
          <w:b w:val="0"/>
          <w:color w:val="5F6B7A"/>
          <w:sz w:val="24"/>
        </w:rPr>
        <w:t>Para utilizar después del decreto que termina el monitorio por falta de pago y oposición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</w:tblPr>
      <w:tblGrid>
        <w:gridCol w:w="4958"/>
        <w:gridCol w:w="4958"/>
      </w:tblGrid>
      <w:tr>
        <w:trPr>
          <w:cantSplit/>
        </w:trPr>
        <w:tc>
          <w:tcPr>
            <w:tcW w:type="dxa" w:w="4958"/>
            <w:shd w:fill="EDF4FB"/>
            <w:tcBorders>
              <w:top w:val="single" w:sz="5" w:color="C9D6E2"/>
              <w:left w:val="single" w:sz="5" w:color="C9D6E2"/>
              <w:bottom w:val="single" w:sz="5" w:color="C9D6E2"/>
              <w:right w:val="single" w:sz="5" w:color="C9D6E2"/>
            </w:tcBorders>
          </w:tcPr>
          <w:p>
            <w:r>
              <w:rPr>
                <w:rFonts w:ascii="Liberation Sans" w:hAnsi="Liberation Sans" w:eastAsia="Liberation Sans"/>
                <w:b/>
                <w:color w:val="17324D"/>
                <w:sz w:val="17"/>
              </w:rPr>
              <w:t>Documento</w:t>
            </w:r>
          </w:p>
        </w:tc>
        <w:tc>
          <w:tcPr>
            <w:tcW w:type="dxa" w:w="4958"/>
            <w:shd w:fill="FFFFFF"/>
            <w:tcBorders>
              <w:top w:val="single" w:sz="5" w:color="C9D6E2"/>
              <w:left w:val="single" w:sz="5" w:color="C9D6E2"/>
              <w:bottom w:val="single" w:sz="5" w:color="C9D6E2"/>
              <w:right w:val="single" w:sz="5" w:color="C9D6E2"/>
            </w:tcBorders>
          </w:tcPr>
          <w:p>
            <w:r>
              <w:rPr>
                <w:rFonts w:ascii="Liberation Sans" w:hAnsi="Liberation Sans" w:eastAsia="Liberation Sans"/>
                <w:b w:val="0"/>
                <w:sz w:val="17"/>
              </w:rPr>
              <w:t>Modelo jurídico editable</w:t>
            </w:r>
          </w:p>
        </w:tc>
      </w:tr>
      <w:tr>
        <w:trPr>
          <w:cantSplit/>
        </w:trPr>
        <w:tc>
          <w:tcPr>
            <w:tcW w:type="dxa" w:w="4958"/>
            <w:shd w:fill="EDF4FB"/>
            <w:tcBorders>
              <w:top w:val="single" w:sz="5" w:color="C9D6E2"/>
              <w:left w:val="single" w:sz="5" w:color="C9D6E2"/>
              <w:bottom w:val="single" w:sz="5" w:color="C9D6E2"/>
              <w:right w:val="single" w:sz="5" w:color="C9D6E2"/>
            </w:tcBorders>
          </w:tcPr>
          <w:p>
            <w:r>
              <w:rPr>
                <w:rFonts w:ascii="Liberation Sans" w:hAnsi="Liberation Sans" w:eastAsia="Liberation Sans"/>
                <w:b/>
                <w:color w:val="17324D"/>
                <w:sz w:val="17"/>
              </w:rPr>
              <w:t>Versión</w:t>
            </w:r>
          </w:p>
        </w:tc>
        <w:tc>
          <w:tcPr>
            <w:tcW w:type="dxa" w:w="4958"/>
            <w:shd w:fill="FFFFFF"/>
            <w:tcBorders>
              <w:top w:val="single" w:sz="5" w:color="C9D6E2"/>
              <w:left w:val="single" w:sz="5" w:color="C9D6E2"/>
              <w:bottom w:val="single" w:sz="5" w:color="C9D6E2"/>
              <w:right w:val="single" w:sz="5" w:color="C9D6E2"/>
            </w:tcBorders>
          </w:tcPr>
          <w:p>
            <w:r>
              <w:rPr>
                <w:rFonts w:ascii="Liberation Sans" w:hAnsi="Liberation Sans" w:eastAsia="Liberation Sans"/>
                <w:b w:val="0"/>
                <w:sz w:val="17"/>
              </w:rPr>
              <w:t>4 de septiembre de 2026</w:t>
            </w:r>
          </w:p>
        </w:tc>
      </w:tr>
      <w:tr>
        <w:trPr>
          <w:cantSplit/>
        </w:trPr>
        <w:tc>
          <w:tcPr>
            <w:tcW w:type="dxa" w:w="4958"/>
            <w:shd w:fill="EDF4FB"/>
            <w:tcBorders>
              <w:top w:val="single" w:sz="5" w:color="C9D6E2"/>
              <w:left w:val="single" w:sz="5" w:color="C9D6E2"/>
              <w:bottom w:val="single" w:sz="5" w:color="C9D6E2"/>
              <w:right w:val="single" w:sz="5" w:color="C9D6E2"/>
            </w:tcBorders>
          </w:tcPr>
          <w:p>
            <w:r>
              <w:rPr>
                <w:rFonts w:ascii="Liberation Sans" w:hAnsi="Liberation Sans" w:eastAsia="Liberation Sans"/>
                <w:b/>
                <w:color w:val="17324D"/>
                <w:sz w:val="17"/>
              </w:rPr>
              <w:t>Ámbito</w:t>
            </w:r>
          </w:p>
        </w:tc>
        <w:tc>
          <w:tcPr>
            <w:tcW w:type="dxa" w:w="4958"/>
            <w:shd w:fill="FFFFFF"/>
            <w:tcBorders>
              <w:top w:val="single" w:sz="5" w:color="C9D6E2"/>
              <w:left w:val="single" w:sz="5" w:color="C9D6E2"/>
              <w:bottom w:val="single" w:sz="5" w:color="C9D6E2"/>
              <w:right w:val="single" w:sz="5" w:color="C9D6E2"/>
            </w:tcBorders>
          </w:tcPr>
          <w:p>
            <w:r>
              <w:rPr>
                <w:rFonts w:ascii="Liberation Sans" w:hAnsi="Liberation Sans" w:eastAsia="Liberation Sans"/>
                <w:b w:val="0"/>
                <w:sz w:val="17"/>
              </w:rPr>
              <w:t>España · artículos 101.b y 239 y siguientes LRJS</w:t>
            </w:r>
          </w:p>
        </w:tc>
      </w:tr>
      <w:tr>
        <w:trPr>
          <w:cantSplit/>
        </w:trPr>
        <w:tc>
          <w:tcPr>
            <w:tcW w:type="dxa" w:w="4958"/>
            <w:shd w:fill="EDF4FB"/>
            <w:tcBorders>
              <w:top w:val="single" w:sz="5" w:color="C9D6E2"/>
              <w:left w:val="single" w:sz="5" w:color="C9D6E2"/>
              <w:bottom w:val="single" w:sz="5" w:color="C9D6E2"/>
              <w:right w:val="single" w:sz="5" w:color="C9D6E2"/>
            </w:tcBorders>
          </w:tcPr>
          <w:p>
            <w:r>
              <w:rPr>
                <w:rFonts w:ascii="Liberation Sans" w:hAnsi="Liberation Sans" w:eastAsia="Liberation Sans"/>
                <w:b/>
                <w:color w:val="17324D"/>
                <w:sz w:val="17"/>
              </w:rPr>
              <w:t>Estado</w:t>
            </w:r>
          </w:p>
        </w:tc>
        <w:tc>
          <w:tcPr>
            <w:tcW w:type="dxa" w:w="4958"/>
            <w:shd w:fill="FFFFFF"/>
            <w:tcBorders>
              <w:top w:val="single" w:sz="5" w:color="C9D6E2"/>
              <w:left w:val="single" w:sz="5" w:color="C9D6E2"/>
              <w:bottom w:val="single" w:sz="5" w:color="C9D6E2"/>
              <w:right w:val="single" w:sz="5" w:color="C9D6E2"/>
            </w:tcBorders>
          </w:tcPr>
          <w:p>
            <w:r>
              <w:rPr>
                <w:rFonts w:ascii="Liberation Sans" w:hAnsi="Liberation Sans" w:eastAsia="Liberation Sans"/>
                <w:b w:val="0"/>
                <w:sz w:val="17"/>
              </w:rPr>
              <w:t>No presentar antes de recibir el decreto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916"/>
      </w:tblGrid>
      <w:tr>
        <w:tc>
          <w:tcPr>
            <w:tcW w:type="dxa" w:w="9916"/>
            <w:shd w:fill="FDECEC"/>
            <w:tcBorders>
              <w:top w:val="nil"/>
              <w:left w:val="single" w:sz="20" w:color="A61B1B"/>
              <w:bottom w:val="nil"/>
              <w:right w:val="nil"/>
            </w:tcBorders>
            <w:vAlign w:val="center"/>
          </w:tcPr>
          <w:p>
            <w:pPr>
              <w:spacing w:before="100" w:after="100"/>
              <w:ind w:left="102"/>
            </w:pPr>
            <w:r>
              <w:rPr>
                <w:rFonts w:ascii="Liberation Sans" w:hAnsi="Liberation Sans" w:eastAsia="Liberation Sans"/>
                <w:b/>
                <w:color w:val="A61B1B"/>
              </w:rPr>
              <w:t xml:space="preserve">ATENCIÓN · </w:t>
            </w:r>
            <w:r>
              <w:rPr>
                <w:rFonts w:ascii="Liberation Sans" w:hAnsi="Liberation Sans" w:eastAsia="Liberation Sans"/>
                <w:b w:val="0"/>
              </w:rPr>
              <w:t>Este modelo se utiliza únicamente después de que se haya dictado el decreto previsto en el artículo 101.b LRJS. Adjunte la resolución y actualice la liquidación con cualquier pago posterior.</w:t>
            </w:r>
          </w:p>
        </w:tc>
      </w:tr>
    </w:tbl>
    <w:p>
      <w:pPr>
        <w:spacing w:after="0"/>
      </w:pPr>
    </w:p>
    <w:p>
      <w:pPr>
        <w:pStyle w:val="Heading2"/>
        <w:keepNext/>
        <w:keepLines/>
      </w:pPr>
      <w:r>
        <w:rPr>
          <w:rFonts w:ascii="Liberation Sans" w:hAnsi="Liberation Sans" w:eastAsia="Liberation Sans"/>
          <w:b w:val="0"/>
        </w:rPr>
        <w:t>Antes de presentar</w:t>
      </w:r>
    </w:p>
    <w:p>
      <w:pPr>
        <w:pStyle w:val="ListBullet"/>
      </w:pPr>
      <w:r>
        <w:rPr>
          <w:rFonts w:ascii="Liberation Sans" w:hAnsi="Liberation Sans" w:eastAsia="Liberation Sans"/>
          <w:b w:val="0"/>
        </w:rPr>
        <w:t>Compruebe el principal exacto reconocido por el decreto.</w:t>
      </w:r>
    </w:p>
    <w:p>
      <w:pPr>
        <w:pStyle w:val="ListBullet"/>
      </w:pPr>
      <w:r>
        <w:rPr>
          <w:rFonts w:ascii="Liberation Sans" w:hAnsi="Liberation Sans" w:eastAsia="Liberation Sans"/>
          <w:b w:val="0"/>
        </w:rPr>
        <w:t>Descuente pagos posteriores.</w:t>
      </w:r>
    </w:p>
    <w:p>
      <w:pPr>
        <w:pStyle w:val="ListBullet"/>
      </w:pPr>
      <w:r>
        <w:rPr>
          <w:rFonts w:ascii="Liberation Sans" w:hAnsi="Liberation Sans" w:eastAsia="Liberation Sans"/>
          <w:b w:val="0"/>
        </w:rPr>
        <w:t>Distinga mora salarial anterior e interés procesal desde el decreto.</w:t>
      </w:r>
    </w:p>
    <w:p>
      <w:pPr>
        <w:pStyle w:val="ListBullet"/>
      </w:pPr>
      <w:r>
        <w:rPr>
          <w:rFonts w:ascii="Liberation Sans" w:hAnsi="Liberation Sans" w:eastAsia="Liberation Sans"/>
          <w:b w:val="0"/>
        </w:rPr>
        <w:t>Indique bienes o créditos conocidos, si existen.</w:t>
      </w:r>
    </w:p>
    <w:p>
      <w:pPr>
        <w:pStyle w:val="ListBullet"/>
      </w:pPr>
      <w:r>
        <w:rPr>
          <w:rFonts w:ascii="Liberation Sans" w:hAnsi="Liberation Sans" w:eastAsia="Liberation Sans"/>
          <w:b w:val="0"/>
        </w:rPr>
        <w:t>No altere en ejecución la deuda reconocida ni añada conceptos nuevos.</w:t>
      </w:r>
    </w:p>
    <w:p>
      <w:pPr>
        <w:pStyle w:val="Heading2"/>
        <w:keepNext/>
        <w:keepLines/>
      </w:pPr>
      <w:r>
        <w:rPr>
          <w:rFonts w:ascii="Liberation Sans" w:hAnsi="Liberation Sans" w:eastAsia="Liberation Sans"/>
          <w:b w:val="0"/>
        </w:rPr>
        <w:t>Base normativa</w:t>
      </w:r>
    </w:p>
    <w:p>
      <w:pPr>
        <w:pStyle w:val="ListBullet"/>
      </w:pPr>
      <w:r>
        <w:rPr>
          <w:rFonts w:ascii="Liberation Sans" w:hAnsi="Liberation Sans" w:eastAsia="Liberation Sans"/>
          <w:b w:val="0"/>
        </w:rPr>
        <w:t>Artículos 101.b, 239, 250 y 251 LRJS.</w:t>
      </w:r>
    </w:p>
    <w:p>
      <w:pPr>
        <w:pStyle w:val="ListBullet"/>
      </w:pPr>
      <w:hyperlink r:id="rId11">
        <w:r>
          <w:rPr>
            <w:color w:val="1F6FEB"/>
            <w:u w:val="single"/>
            <w:rFonts w:ascii="Liberation Sans" w:hAnsi="Liberation Sans"/>
          </w:rPr>
          <w:t>https://www.boe.es/eli/es/l/2011/10/10/36/con</w:t>
        </w:r>
      </w:hyperlink>
    </w:p>
    <w:p>
      <w:r>
        <w:br w:type="page"/>
      </w:r>
    </w:p>
    <w:p>
      <w:pPr>
        <w:pStyle w:val="Modelheading"/>
        <w:jc w:val="center"/>
      </w:pPr>
      <w:r>
        <w:rPr>
          <w:rFonts w:ascii="Liberation Sans" w:hAnsi="Liberation Sans" w:eastAsia="Liberation Sans"/>
          <w:b/>
        </w:rPr>
        <w:t xml:space="preserve">A LA SECCIÓN DE LO SOCIAL DEL TRIBUNAL DE INSTANCIA DE </w:t>
      </w:r>
      <w:r>
        <w:rPr>
          <w:rFonts w:ascii="Liberation Sans" w:hAnsi="Liberation Sans" w:eastAsia="Liberation Sans"/>
          <w:b/>
          <w:color w:val="0066CC"/>
          <w:shd w:fill="FFF2CC"/>
        </w:rPr>
        <w:t>[LOCALIDAD]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Procedimiento monitorio núm. </w:t>
      </w:r>
      <w:r>
        <w:rPr>
          <w:rFonts w:ascii="Liberation Sans" w:hAnsi="Liberation Sans" w:eastAsia="Liberation Sans"/>
          <w:b/>
          <w:color w:val="0066CC"/>
          <w:shd w:fill="FFF2CC"/>
        </w:rPr>
        <w:t>[NÚMERO/AÑO]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NIG: </w:t>
      </w:r>
      <w:r>
        <w:rPr>
          <w:rFonts w:ascii="Liberation Sans" w:hAnsi="Liberation Sans" w:eastAsia="Liberation Sans"/>
          <w:b/>
          <w:color w:val="0066CC"/>
          <w:shd w:fill="FFF2CC"/>
        </w:rPr>
        <w:t>[NIG]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D./D.ª </w:t>
      </w:r>
      <w:r>
        <w:rPr>
          <w:rFonts w:ascii="Liberation Sans" w:hAnsi="Liberation Sans" w:eastAsia="Liberation Sans"/>
          <w:b/>
          <w:color w:val="0066CC"/>
          <w:shd w:fill="FFF2CC"/>
        </w:rPr>
        <w:t>[NOMBRE Y APELLIDOS]</w:t>
      </w:r>
      <w:r>
        <w:rPr>
          <w:rFonts w:ascii="Liberation Sans" w:hAnsi="Liberation Sans" w:eastAsia="Liberation Sans"/>
          <w:b w:val="0"/>
        </w:rPr>
        <w:t xml:space="preserve">, con DNI/NIE </w:t>
      </w:r>
      <w:r>
        <w:rPr>
          <w:rFonts w:ascii="Liberation Sans" w:hAnsi="Liberation Sans" w:eastAsia="Liberation Sans"/>
          <w:b/>
          <w:color w:val="0066CC"/>
          <w:shd w:fill="FFF2CC"/>
        </w:rPr>
        <w:t>[NÚMERO]</w:t>
      </w:r>
      <w:r>
        <w:rPr>
          <w:rFonts w:ascii="Liberation Sans" w:hAnsi="Liberation Sans" w:eastAsia="Liberation Sans"/>
          <w:b w:val="0"/>
        </w:rPr>
        <w:t>, parte solicitante en el procedimiento indicado, comparece y, como mejor proceda en Derecho,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DICE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PRIMERO. En fecha </w:t>
      </w:r>
      <w:r>
        <w:rPr>
          <w:rFonts w:ascii="Liberation Sans" w:hAnsi="Liberation Sans" w:eastAsia="Liberation Sans"/>
          <w:b/>
          <w:color w:val="0066CC"/>
          <w:shd w:fill="FFF2CC"/>
        </w:rPr>
        <w:t>[FECHA DEL DECRETO]</w:t>
      </w:r>
      <w:r>
        <w:rPr>
          <w:rFonts w:ascii="Liberation Sans" w:hAnsi="Liberation Sans" w:eastAsia="Liberation Sans"/>
          <w:b w:val="0"/>
        </w:rPr>
        <w:t xml:space="preserve"> se dictó decreto dando por terminado el procedimiento monitorio por no haber pagado ni formulado oposición motivada </w:t>
      </w:r>
      <w:r>
        <w:rPr>
          <w:rFonts w:ascii="Liberation Sans" w:hAnsi="Liberation Sans" w:eastAsia="Liberation Sans"/>
          <w:b/>
          <w:color w:val="0066CC"/>
          <w:shd w:fill="FFF2CC"/>
        </w:rPr>
        <w:t>[EMPRESA/FOGASA]</w:t>
      </w:r>
      <w:r>
        <w:rPr>
          <w:rFonts w:ascii="Liberation Sans" w:hAnsi="Liberation Sans" w:eastAsia="Liberation Sans"/>
          <w:b w:val="0"/>
        </w:rPr>
        <w:t xml:space="preserve"> dentro del plazo legal.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El decreto fue notificado a esta parte el </w:t>
      </w:r>
      <w:r>
        <w:rPr>
          <w:rFonts w:ascii="Liberation Sans" w:hAnsi="Liberation Sans" w:eastAsia="Liberation Sans"/>
          <w:b/>
          <w:color w:val="0066CC"/>
          <w:shd w:fill="FFF2CC"/>
        </w:rPr>
        <w:t>[FECHA DE NOTIFICACIÓN]</w:t>
      </w:r>
      <w:r>
        <w:rPr>
          <w:rFonts w:ascii="Liberation Sans" w:hAnsi="Liberation Sans" w:eastAsia="Liberation Sans"/>
          <w:b w:val="0"/>
        </w:rPr>
        <w:t xml:space="preserve">. Se aporta copia como documento núm. 1 </w:t>
      </w:r>
      <w:r>
        <w:rPr>
          <w:rFonts w:ascii="Liberation Sans" w:hAnsi="Liberation Sans" w:eastAsia="Liberation Sans"/>
          <w:b/>
          <w:color w:val="0066CC"/>
          <w:shd w:fill="FFF2CC"/>
        </w:rPr>
        <w:t>[SI NO OBRA YA IDENTIFICADO EN EL EXPEDIENTE]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SEGUNDO. La cantidad reconocida y pendiente asciende a </w:t>
      </w:r>
      <w:r>
        <w:rPr>
          <w:rFonts w:ascii="Liberation Sans" w:hAnsi="Liberation Sans" w:eastAsia="Liberation Sans"/>
          <w:b/>
          <w:color w:val="0066CC"/>
          <w:shd w:fill="FFF2CC"/>
        </w:rPr>
        <w:t>[IMPORTE]</w:t>
      </w:r>
      <w:r>
        <w:rPr>
          <w:rFonts w:ascii="Liberation Sans" w:hAnsi="Liberation Sans" w:eastAsia="Liberation Sans"/>
          <w:b w:val="0"/>
        </w:rPr>
        <w:t xml:space="preserve"> euros. Desde el decreto </w:t>
      </w:r>
      <w:r>
        <w:rPr>
          <w:rFonts w:ascii="Liberation Sans" w:hAnsi="Liberation Sans" w:eastAsia="Liberation Sans"/>
          <w:b/>
          <w:color w:val="0066CC"/>
          <w:shd w:fill="FFF2CC"/>
        </w:rPr>
        <w:t>[NO SE HA RECIBIDO PAGO/SE HA RECIBIDO UN PAGO DE [IMPORTE]</w:t>
      </w:r>
      <w:r>
        <w:rPr>
          <w:rFonts w:ascii="Liberation Sans" w:hAnsi="Liberation Sans" w:eastAsia="Liberation Sans"/>
          <w:b w:val="0"/>
        </w:rPr>
        <w:t xml:space="preserve"> EUROS EL </w:t>
      </w:r>
      <w:r>
        <w:rPr>
          <w:rFonts w:ascii="Liberation Sans" w:hAnsi="Liberation Sans" w:eastAsia="Liberation Sans"/>
          <w:b/>
          <w:color w:val="0066CC"/>
          <w:shd w:fill="FFF2CC"/>
        </w:rPr>
        <w:t>[FECHA]</w:t>
      </w:r>
      <w:r>
        <w:rPr>
          <w:rFonts w:ascii="Liberation Sans" w:hAnsi="Liberation Sans" w:eastAsia="Liberation Sans"/>
          <w:b w:val="0"/>
        </w:rPr>
        <w:t>].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TERCERO. Liquidación actualizada.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958"/>
        <w:gridCol w:w="4958"/>
      </w:tblGrid>
      <w:tr>
        <w:trPr>
          <w:cantSplit/>
          <w:tblHeader w:val="true"/>
        </w:trPr>
        <w:tc>
          <w:tcPr>
            <w:tcW w:type="dxa" w:w="4958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  <w:shd w:fill="17324D"/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FFFFFF"/>
                <w:sz w:val="18"/>
              </w:rPr>
              <w:t>Concepto</w:t>
            </w:r>
          </w:p>
        </w:tc>
        <w:tc>
          <w:tcPr>
            <w:tcW w:type="dxa" w:w="4958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  <w:shd w:fill="17324D"/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FFFFFF"/>
                <w:sz w:val="18"/>
              </w:rPr>
              <w:t>Importe</w:t>
            </w:r>
          </w:p>
        </w:tc>
      </w:tr>
      <w:tr>
        <w:trPr>
          <w:cantSplit/>
        </w:trPr>
        <w:tc>
          <w:tcPr>
            <w:tcW w:type="dxa" w:w="4958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 w:val="0"/>
                <w:color w:val="1F2937"/>
                <w:sz w:val="18"/>
              </w:rPr>
              <w:t>Principal reconocido</w:t>
            </w:r>
          </w:p>
        </w:tc>
        <w:tc>
          <w:tcPr>
            <w:tcW w:type="dxa" w:w="4958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1F2937"/>
                <w:sz w:val="18"/>
                <w:shd w:fill="FFF2CC"/>
              </w:rPr>
              <w:t>[€]</w:t>
            </w:r>
          </w:p>
        </w:tc>
      </w:tr>
      <w:tr>
        <w:trPr>
          <w:cantSplit/>
        </w:trPr>
        <w:tc>
          <w:tcPr>
            <w:tcW w:type="dxa" w:w="4958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  <w:shd w:fill="F6FAFE"/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 w:val="0"/>
                <w:color w:val="1F2937"/>
                <w:sz w:val="18"/>
              </w:rPr>
              <w:t>Pagos posteriores</w:t>
            </w:r>
          </w:p>
        </w:tc>
        <w:tc>
          <w:tcPr>
            <w:tcW w:type="dxa" w:w="4958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  <w:shd w:fill="F6FAFE"/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 w:val="0"/>
                <w:color w:val="1F2937"/>
                <w:sz w:val="18"/>
              </w:rPr>
              <w:t>-</w:t>
            </w:r>
            <w:r>
              <w:rPr>
                <w:rFonts w:ascii="Liberation Sans" w:hAnsi="Liberation Sans" w:eastAsia="Liberation Sans"/>
                <w:b/>
                <w:color w:val="1F2937"/>
                <w:sz w:val="18"/>
                <w:shd w:fill="FFF2CC"/>
              </w:rPr>
              <w:t>[€]</w:t>
            </w:r>
          </w:p>
        </w:tc>
      </w:tr>
      <w:tr>
        <w:trPr>
          <w:cantSplit/>
        </w:trPr>
        <w:tc>
          <w:tcPr>
            <w:tcW w:type="dxa" w:w="4958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1F2937"/>
                <w:sz w:val="18"/>
              </w:rPr>
              <w:t>Principal pendiente</w:t>
            </w:r>
          </w:p>
        </w:tc>
        <w:tc>
          <w:tcPr>
            <w:tcW w:type="dxa" w:w="4958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1F2937"/>
                <w:sz w:val="18"/>
              </w:rPr>
              <w:t>[€]</w:t>
            </w:r>
          </w:p>
        </w:tc>
      </w:tr>
      <w:tr>
        <w:trPr>
          <w:cantSplit/>
        </w:trPr>
        <w:tc>
          <w:tcPr>
            <w:tcW w:type="dxa" w:w="4958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  <w:shd w:fill="F6FAFE"/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 w:val="0"/>
                <w:color w:val="1F2937"/>
                <w:sz w:val="18"/>
              </w:rPr>
              <w:t xml:space="preserve">Interés procesal del artículo 251.2 LRJS desde </w:t>
            </w:r>
            <w:r>
              <w:rPr>
                <w:rFonts w:ascii="Liberation Sans" w:hAnsi="Liberation Sans" w:eastAsia="Liberation Sans"/>
                <w:b/>
                <w:color w:val="1F2937"/>
                <w:sz w:val="18"/>
                <w:shd w:fill="FFF2CC"/>
              </w:rPr>
              <w:t>[FECHA]</w:t>
            </w:r>
          </w:p>
        </w:tc>
        <w:tc>
          <w:tcPr>
            <w:tcW w:type="dxa" w:w="4958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  <w:shd w:fill="F6FAFE"/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1F2937"/>
                <w:sz w:val="18"/>
                <w:shd w:fill="FFF2CC"/>
              </w:rPr>
              <w:t>[CÁLCULO/A DETERMINAR]</w:t>
            </w:r>
          </w:p>
        </w:tc>
      </w:tr>
      <w:tr>
        <w:trPr>
          <w:cantSplit/>
        </w:trPr>
        <w:tc>
          <w:tcPr>
            <w:tcW w:type="dxa" w:w="4958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1F2937"/>
                <w:sz w:val="18"/>
                <w:shd w:fill="FFF2CC"/>
              </w:rPr>
              <w:t>[OTRO INTERÉS YA RECONOCIDO]</w:t>
            </w:r>
          </w:p>
        </w:tc>
        <w:tc>
          <w:tcPr>
            <w:tcW w:type="dxa" w:w="4958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1F2937"/>
                <w:sz w:val="18"/>
                <w:shd w:fill="FFF2CC"/>
              </w:rPr>
              <w:t>[€]</w:t>
            </w:r>
          </w:p>
        </w:tc>
      </w:tr>
    </w:tbl>
    <w:p>
      <w:pPr>
        <w:spacing w:after="0"/>
      </w:pP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CUARTO. La ejecutada es </w:t>
      </w:r>
      <w:r>
        <w:rPr>
          <w:rFonts w:ascii="Liberation Sans" w:hAnsi="Liberation Sans" w:eastAsia="Liberation Sans"/>
          <w:b/>
          <w:color w:val="0066CC"/>
          <w:shd w:fill="FFF2CC"/>
        </w:rPr>
        <w:t>[EMPRESA]</w:t>
      </w:r>
      <w:r>
        <w:rPr>
          <w:rFonts w:ascii="Liberation Sans" w:hAnsi="Liberation Sans" w:eastAsia="Liberation Sans"/>
          <w:b w:val="0"/>
        </w:rPr>
        <w:t xml:space="preserve">, con NIF </w:t>
      </w:r>
      <w:r>
        <w:rPr>
          <w:rFonts w:ascii="Liberation Sans" w:hAnsi="Liberation Sans" w:eastAsia="Liberation Sans"/>
          <w:b/>
          <w:color w:val="0066CC"/>
          <w:shd w:fill="FFF2CC"/>
        </w:rPr>
        <w:t>[NIF]</w:t>
      </w:r>
      <w:r>
        <w:rPr>
          <w:rFonts w:ascii="Liberation Sans" w:hAnsi="Liberation Sans" w:eastAsia="Liberation Sans"/>
          <w:b w:val="0"/>
        </w:rPr>
        <w:t xml:space="preserve"> y domicilio en </w:t>
      </w:r>
      <w:r>
        <w:rPr>
          <w:rFonts w:ascii="Liberation Sans" w:hAnsi="Liberation Sans" w:eastAsia="Liberation Sans"/>
          <w:b/>
          <w:color w:val="0066CC"/>
          <w:shd w:fill="FFF2CC"/>
        </w:rPr>
        <w:t>[DOMICILIO]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egalbody"/>
      </w:pPr>
      <w:r>
        <w:rPr>
          <w:rFonts w:ascii="Liberation Sans" w:hAnsi="Liberation Sans" w:eastAsia="Liberation Sans"/>
          <w:b/>
          <w:color w:val="0066CC"/>
          <w:shd w:fill="FFF2CC"/>
        </w:rPr>
        <w:t>[OPCIONAL: Se conocen los siguientes bienes, derechos o pagadores: [DESCRIPCIÓN Y DATOS]</w:t>
      </w:r>
      <w:r>
        <w:rPr>
          <w:rFonts w:ascii="Liberation Sans" w:hAnsi="Liberation Sans" w:eastAsia="Liberation Sans"/>
          <w:b w:val="0"/>
        </w:rPr>
        <w:t>.]</w:t>
      </w:r>
    </w:p>
    <w:p>
      <w:pPr>
        <w:pStyle w:val="Legalbody"/>
      </w:pPr>
      <w:r>
        <w:rPr>
          <w:rFonts w:ascii="Liberation Sans" w:hAnsi="Liberation Sans" w:eastAsia="Liberation Sans"/>
          <w:b/>
          <w:color w:val="0066CC"/>
          <w:shd w:fill="FFF2CC"/>
        </w:rPr>
        <w:t>[OPCIONAL: No se conocen bienes suficientes, por lo que se interesa averiguación patrimonial integral por los medios de acceso del tribunal.]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FUNDAMENTOS DE DERECHO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I. El artículo 101.b LRJS permite instar el despacho de ejecución mediante mera solicitud tras el decreto que termina el monitorio sin oposición.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II. Son aplicables las normas de ejecución de los artículos 239 y siguientes LRJS y el interés procesal previsto en el artículo 251.2.</w:t>
      </w:r>
    </w:p>
    <w:p>
      <w:r>
        <w:br w:type="page"/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Por lo expuesto,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SUPLICO AL TRIBUNAL que:</w:t>
      </w:r>
    </w:p>
    <w:p>
      <w:pPr>
        <w:pStyle w:val="Legalbody"/>
        <w:spacing w:after="50"/>
        <w:ind w:left="351" w:hanging="283"/>
      </w:pPr>
      <w:r>
        <w:rPr>
          <w:rFonts w:ascii="Liberation Sans" w:hAnsi="Liberation Sans" w:eastAsia="Liberation Sans"/>
          <w:b w:val="0"/>
        </w:rPr>
        <w:t xml:space="preserve">1. Tenga por instada la ejecución del decreto de fecha </w:t>
      </w:r>
      <w:r>
        <w:rPr>
          <w:rFonts w:ascii="Liberation Sans" w:hAnsi="Liberation Sans" w:eastAsia="Liberation Sans"/>
          <w:b/>
          <w:color w:val="0066CC"/>
          <w:shd w:fill="FFF2CC"/>
        </w:rPr>
        <w:t>[FECHA]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egalbody"/>
        <w:spacing w:after="50"/>
        <w:ind w:left="351" w:hanging="283"/>
      </w:pPr>
      <w:r>
        <w:rPr>
          <w:rFonts w:ascii="Liberation Sans" w:hAnsi="Liberation Sans" w:eastAsia="Liberation Sans"/>
          <w:b w:val="0"/>
        </w:rPr>
        <w:t xml:space="preserve">2. Despache ejecución frente a </w:t>
      </w:r>
      <w:r>
        <w:rPr>
          <w:rFonts w:ascii="Liberation Sans" w:hAnsi="Liberation Sans" w:eastAsia="Liberation Sans"/>
          <w:b/>
          <w:color w:val="0066CC"/>
          <w:shd w:fill="FFF2CC"/>
        </w:rPr>
        <w:t>[EMPRESA]</w:t>
      </w:r>
      <w:r>
        <w:rPr>
          <w:rFonts w:ascii="Liberation Sans" w:hAnsi="Liberation Sans" w:eastAsia="Liberation Sans"/>
          <w:b w:val="0"/>
        </w:rPr>
        <w:t xml:space="preserve">, NIF </w:t>
      </w:r>
      <w:r>
        <w:rPr>
          <w:rFonts w:ascii="Liberation Sans" w:hAnsi="Liberation Sans" w:eastAsia="Liberation Sans"/>
          <w:b/>
          <w:color w:val="0066CC"/>
          <w:shd w:fill="FFF2CC"/>
        </w:rPr>
        <w:t>[NIF]</w:t>
      </w:r>
      <w:r>
        <w:rPr>
          <w:rFonts w:ascii="Liberation Sans" w:hAnsi="Liberation Sans" w:eastAsia="Liberation Sans"/>
          <w:b w:val="0"/>
        </w:rPr>
        <w:t xml:space="preserve">, por </w:t>
      </w:r>
      <w:r>
        <w:rPr>
          <w:rFonts w:ascii="Liberation Sans" w:hAnsi="Liberation Sans" w:eastAsia="Liberation Sans"/>
          <w:b/>
          <w:color w:val="0066CC"/>
          <w:shd w:fill="FFF2CC"/>
        </w:rPr>
        <w:t>[PRINCIPAL PENDIENTE]</w:t>
      </w:r>
      <w:r>
        <w:rPr>
          <w:rFonts w:ascii="Liberation Sans" w:hAnsi="Liberation Sans" w:eastAsia="Liberation Sans"/>
          <w:b w:val="0"/>
        </w:rPr>
        <w:t xml:space="preserve"> euros de principal, más los intereses y cantidades que legalmente procedan.</w:t>
      </w:r>
    </w:p>
    <w:p>
      <w:pPr>
        <w:pStyle w:val="Legalbody"/>
        <w:spacing w:after="50"/>
        <w:ind w:left="351" w:hanging="283"/>
      </w:pPr>
      <w:r>
        <w:rPr>
          <w:rFonts w:ascii="Liberation Sans" w:hAnsi="Liberation Sans" w:eastAsia="Liberation Sans"/>
          <w:b w:val="0"/>
        </w:rPr>
        <w:t>3. Acuerde la averiguación patrimonial de la ejecutada y el embargo de cuentas, devoluciones tributarias, créditos frente a terceros, vehículos, inmuebles y demás bienes o derechos en cuantía suficiente.</w:t>
      </w:r>
    </w:p>
    <w:p>
      <w:pPr>
        <w:pStyle w:val="Legalbody"/>
        <w:spacing w:after="50"/>
        <w:ind w:left="351" w:hanging="283"/>
      </w:pPr>
      <w:r>
        <w:rPr>
          <w:rFonts w:ascii="Liberation Sans" w:hAnsi="Liberation Sans" w:eastAsia="Liberation Sans"/>
          <w:b w:val="0"/>
        </w:rPr>
        <w:t>4. Requiera a la ejecutada para que manifieste bienes y derechos suficientes en los términos legales.</w:t>
      </w:r>
    </w:p>
    <w:p>
      <w:pPr>
        <w:pStyle w:val="Legalbody"/>
        <w:spacing w:after="50"/>
        <w:ind w:left="351" w:hanging="283"/>
      </w:pPr>
      <w:r>
        <w:rPr>
          <w:rFonts w:ascii="Liberation Sans" w:hAnsi="Liberation Sans" w:eastAsia="Liberation Sans"/>
          <w:b w:val="0"/>
        </w:rPr>
        <w:t>5. Dé intervención al Fondo de Garantía Salarial cuando resulte procedente.</w:t>
      </w:r>
    </w:p>
    <w:p>
      <w:pPr>
        <w:pStyle w:val="Legalbody"/>
        <w:jc w:val="right"/>
      </w:pPr>
      <w:r>
        <w:rPr>
          <w:rFonts w:ascii="Liberation Sans" w:hAnsi="Liberation Sans" w:eastAsia="Liberation Sans"/>
          <w:b w:val="0"/>
        </w:rPr>
        <w:t xml:space="preserve">En </w:t>
      </w:r>
      <w:r>
        <w:rPr>
          <w:rFonts w:ascii="Liberation Sans" w:hAnsi="Liberation Sans" w:eastAsia="Liberation Sans"/>
          <w:b/>
          <w:color w:val="0066CC"/>
          <w:shd w:fill="FFF2CC"/>
        </w:rPr>
        <w:t>[LOCALIDAD]</w:t>
      </w:r>
      <w:r>
        <w:rPr>
          <w:rFonts w:ascii="Liberation Sans" w:hAnsi="Liberation Sans" w:eastAsia="Liberation Sans"/>
          <w:b w:val="0"/>
        </w:rPr>
        <w:t xml:space="preserve">, a </w:t>
      </w:r>
      <w:r>
        <w:rPr>
          <w:rFonts w:ascii="Liberation Sans" w:hAnsi="Liberation Sans" w:eastAsia="Liberation Sans"/>
          <w:b/>
          <w:color w:val="0066CC"/>
          <w:shd w:fill="FFF2CC"/>
        </w:rPr>
        <w:t>[FECHA]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egalbody"/>
        <w:jc w:val="center"/>
      </w:pPr>
      <w:r>
        <w:rPr>
          <w:rFonts w:ascii="Liberation Sans" w:hAnsi="Liberation Sans" w:eastAsia="Liberation Sans"/>
          <w:b w:val="0"/>
        </w:rPr>
        <w:t>Firma: ______________________________</w:t>
      </w:r>
    </w:p>
    <w:p>
      <w:pPr>
        <w:pStyle w:val="Legalbody"/>
        <w:jc w:val="center"/>
      </w:pPr>
      <w:r>
        <w:rPr>
          <w:rFonts w:ascii="Liberation Sans" w:hAnsi="Liberation Sans" w:eastAsia="Liberation Sans"/>
          <w:b/>
          <w:color w:val="0066CC"/>
          <w:shd w:fill="FFF2CC"/>
        </w:rPr>
        <w:t>[NOMBRE COMPLETO]</w:t>
      </w:r>
    </w:p>
    <w:sectPr>
      <w:headerReference w:type="default" r:id="rId9"/>
      <w:footerReference w:type="default" r:id="rId10"/>
      <w:pgSz w:w="12240" w:h="15840"/>
      <w:pgMar w:top="1049" w:right="1162" w:bottom="935" w:left="1162" w:header="397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Liberation Sans" w:hAnsi="Liberation Sans" w:eastAsia="Liberation Sans"/>
        <w:color w:val="5F6B7A"/>
        <w:sz w:val="17"/>
      </w:rPr>
      <w:t xml:space="preserve">Página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8" w:space="3" w:color="C9D6E2"/>
      </w:pBdr>
    </w:pPr>
    <w:r>
      <w:rPr>
        <w:rFonts w:ascii="Liberation Sans" w:hAnsi="Liberation Sans" w:eastAsia="Liberation Sans"/>
        <w:b/>
        <w:color w:val="1F6FEB"/>
        <w:sz w:val="16"/>
      </w:rPr>
      <w:t>MODELO LABORAL 5 · EJECUCIÓN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104" w:line="269" w:lineRule="auto"/>
    </w:pPr>
    <w:rPr>
      <w:rFonts w:ascii="Liberation Sans" w:hAnsi="Liberation Sans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240" w:after="100"/>
      <w:outlineLvl w:val="0"/>
    </w:pPr>
    <w:rPr>
      <w:rFonts w:asciiTheme="majorHAnsi" w:eastAsiaTheme="majorEastAsia" w:hAnsiTheme="majorHAnsi" w:cstheme="majorBidi" w:ascii="Liberation Sans" w:hAnsi="Liberation Sans"/>
      <w:b/>
      <w:bCs/>
      <w:color w:val="17324D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80" w:after="100"/>
      <w:outlineLvl w:val="1"/>
    </w:pPr>
    <w:rPr>
      <w:rFonts w:asciiTheme="majorHAnsi" w:eastAsiaTheme="majorEastAsia" w:hAnsiTheme="majorHAnsi" w:cstheme="majorBidi" w:ascii="Liberation Sans" w:hAnsi="Liberation Sans"/>
      <w:b/>
      <w:bCs/>
      <w:color w:val="17324D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180" w:after="100"/>
      <w:outlineLvl w:val="2"/>
    </w:pPr>
    <w:rPr>
      <w:rFonts w:asciiTheme="majorHAnsi" w:eastAsiaTheme="majorEastAsia" w:hAnsiTheme="majorHAnsi" w:cstheme="majorBidi" w:ascii="Liberation Sans" w:hAnsi="Liberation Sans"/>
      <w:b/>
      <w:bCs/>
      <w:color w:val="1F6FEB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widowControl/>
      <w:spacing w:before="180" w:after="100"/>
      <w:outlineLvl w:val="3"/>
    </w:pPr>
    <w:rPr>
      <w:rFonts w:asciiTheme="majorHAnsi" w:eastAsiaTheme="majorEastAsia" w:hAnsiTheme="majorHAnsi" w:cstheme="majorBidi" w:ascii="Liberation Sans" w:hAnsi="Liberation Sans"/>
      <w:b/>
      <w:bCs/>
      <w:i/>
      <w:iCs/>
      <w:color w:val="1F6FEB"/>
      <w:sz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/>
      <w:contextualSpacing/>
    </w:pPr>
    <w:rPr>
      <w:rFonts w:asciiTheme="majorHAnsi" w:eastAsiaTheme="majorEastAsia" w:hAnsiTheme="majorHAnsi" w:cstheme="majorBidi" w:ascii="Liberation Sans" w:hAnsi="Liberation Sans"/>
      <w:b/>
      <w:color w:val="17324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50"/>
      <w:ind w:left="312" w:hanging="125"/>
      <w:contextualSpacing/>
    </w:pPr>
    <w:rPr>
      <w:rFonts w:ascii="Liberation Sans" w:hAnsi="Liberation Sans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50"/>
      <w:ind w:left="312" w:hanging="125"/>
      <w:contextualSpacing/>
    </w:pPr>
    <w:rPr>
      <w:rFonts w:ascii="Liberation Sans" w:hAnsi="Liberation Sans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80" w:line="252" w:lineRule="auto"/>
    </w:pPr>
    <w:rPr>
      <w:rFonts w:ascii="Liberation Sans" w:hAnsi="Liberation Sans"/>
      <w:color w:val="5F6B7A"/>
      <w:sz w:val="17"/>
    </w:rPr>
  </w:style>
  <w:style w:type="paragraph" w:customStyle="1" w:styleId="Legalbody">
    <w:name w:val="Legal body"/>
    <w:pPr>
      <w:widowControl/>
      <w:spacing w:after="140" w:line="276" w:lineRule="auto"/>
    </w:pPr>
    <w:rPr>
      <w:rFonts w:ascii="Liberation Sans" w:hAnsi="Liberation Sans"/>
      <w:sz w:val="20"/>
    </w:rPr>
  </w:style>
  <w:style w:type="paragraph" w:customStyle="1" w:styleId="Modelheading">
    <w:name w:val="Model heading"/>
    <w:pPr>
      <w:keepNext/>
      <w:spacing w:before="160" w:after="120"/>
    </w:pPr>
    <w:rPr>
      <w:rFonts w:ascii="Liberation Sans" w:hAnsi="Liberation Sans"/>
      <w:b/>
      <w:color w:val="1F2937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eli/es/l/2011/10/10/36/c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solicitud de ejecución del monitorio laboral sin oposición</dc:title>
  <dc:subject>España · artículos 101.b y 239 y siguientes LRJS</dc:subject>
  <dc:creator/>
  <cp:keywords/>
  <dc:description>Revisión jurídica 4 de septiembre de 2026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