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40"/>
      </w:pPr>
      <w:r>
        <w:rPr>
          <w:rFonts w:ascii="Liberation Sans" w:hAnsi="Liberation Sans" w:eastAsia="Liberation Sans"/>
          <w:b/>
          <w:color w:val="1F6FEB"/>
          <w:sz w:val="18"/>
        </w:rPr>
        <w:t>CALMA AI · PÉREZ &amp; BURGOS ABOGADOS</w:t>
      </w:r>
    </w:p>
    <w:p>
      <w:pPr>
        <w:pStyle w:val="Title"/>
      </w:pPr>
      <w:r>
        <w:rPr>
          <w:rFonts w:ascii="Liberation Sans" w:hAnsi="Liberation Sans" w:eastAsia="Liberation Sans"/>
          <w:b w:val="0"/>
        </w:rPr>
        <w:t>Modelo para obtener y ejecutar la parte no impugnada del monitorio laboral</w:t>
      </w:r>
    </w:p>
    <w:p>
      <w:pPr>
        <w:spacing w:after="280"/>
      </w:pPr>
      <w:r>
        <w:rPr>
          <w:rFonts w:ascii="Liberation Sans" w:hAnsi="Liberation Sans" w:eastAsia="Liberation Sans"/>
          <w:b w:val="0"/>
          <w:color w:val="5F6B7A"/>
          <w:sz w:val="24"/>
        </w:rPr>
        <w:t>Incluye dos escritos independientes: solicitud de auto y posterior solicitud de ejecución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Documento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Modelo jurídico editable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Versión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4 de septiembre de 2026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Ámbito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España · artículo 101.f LRJS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Estado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Presentar cada escrito en su momento procesal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FF4E5"/>
            <w:tcBorders>
              <w:top w:val="nil"/>
              <w:left w:val="single" w:sz="20" w:color="B45309"/>
              <w:bottom w:val="nil"/>
              <w:right w:val="nil"/>
            </w:tcBorders>
            <w:vAlign w:val="center"/>
          </w:tcPr>
          <w:p>
            <w:pPr>
              <w:spacing w:before="100" w:after="100"/>
              <w:ind w:left="102"/>
            </w:pPr>
            <w:r>
              <w:rPr>
                <w:rFonts w:ascii="Liberation Sans" w:hAnsi="Liberation Sans" w:eastAsia="Liberation Sans"/>
                <w:b/>
                <w:color w:val="B45309"/>
              </w:rPr>
              <w:t xml:space="preserve">IMPORTANTE · </w:t>
            </w:r>
            <w:r>
              <w:rPr>
                <w:rFonts w:ascii="Liberation Sans" w:hAnsi="Liberation Sans" w:eastAsia="Liberation Sans"/>
                <w:b w:val="0"/>
              </w:rPr>
              <w:t xml:space="preserve">Este documento contiene dos escritos distintos. Presente primero el </w:t>
            </w:r>
            <w:r>
              <w:rPr>
                <w:rFonts w:ascii="Liberation Sans" w:hAnsi="Liberation Sans" w:eastAsia="Liberation Sans"/>
                <w:b/>
              </w:rPr>
              <w:t>Escrito A</w:t>
            </w:r>
            <w:r>
              <w:rPr>
                <w:rFonts w:ascii="Liberation Sans" w:hAnsi="Liberation Sans" w:eastAsia="Liberation Sans"/>
                <w:b w:val="0"/>
              </w:rPr>
              <w:t xml:space="preserve"> para obtener el auto. Utilice el </w:t>
            </w:r>
            <w:r>
              <w:rPr>
                <w:rFonts w:ascii="Liberation Sans" w:hAnsi="Liberation Sans" w:eastAsia="Liberation Sans"/>
                <w:b/>
              </w:rPr>
              <w:t>Escrito B</w:t>
            </w:r>
            <w:r>
              <w:rPr>
                <w:rFonts w:ascii="Liberation Sans" w:hAnsi="Liberation Sans" w:eastAsia="Liberation Sans"/>
                <w:b w:val="0"/>
              </w:rPr>
              <w:t xml:space="preserve"> únicamente después de que el auto haya sido dictado y notificado.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Comprobaciones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La oposición debe ser parcial.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La cantidad debe estar expresamente reconocida o claramente no impugnada.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Cite la página y el párrafo exactos de la oposición.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No incluya en la ejecución ninguna cantidad controvertida.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Descuente pagos posteriores.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Base normativa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 101.f LRJS.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Artículos 239 y siguientes LRJS para ejecución.</w:t>
      </w:r>
    </w:p>
    <w:p>
      <w:pPr>
        <w:pStyle w:val="ListBullet"/>
      </w:pPr>
      <w:hyperlink r:id="rId11">
        <w:r>
          <w:rPr>
            <w:color w:val="1F6FEB"/>
            <w:u w:val="single"/>
            <w:rFonts w:ascii="Liberation Sans" w:hAnsi="Liberation Sans"/>
          </w:rPr>
          <w:t>https://www.boe.es/eli/es/l/2011/10/10/36/con</w:t>
        </w:r>
      </w:hyperlink>
    </w:p>
    <w:p>
      <w:r>
        <w:br w:type="page"/>
      </w:r>
    </w:p>
    <w:p>
      <w:pPr>
        <w:pStyle w:val="Heading1"/>
        <w:keepNext/>
        <w:keepLines/>
      </w:pPr>
      <w:r>
        <w:rPr>
          <w:rFonts w:ascii="Liberation Sans" w:hAnsi="Liberation Sans" w:eastAsia="Liberation Sans"/>
          <w:b w:val="0"/>
        </w:rPr>
        <w:t>ESCRITO A · SOLICITUD DE AUTO POR LA PARTE RECONOCIDA O NO IMPUGNADA</w:t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Procedimiento monitorio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[NÚMERO/AÑO]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NIG: </w:t>
      </w:r>
      <w:r>
        <w:rPr>
          <w:rFonts w:ascii="Liberation Sans" w:hAnsi="Liberation Sans" w:eastAsia="Liberation Sans"/>
          <w:b/>
          <w:color w:val="0066CC"/>
          <w:shd w:fill="FFF2CC"/>
        </w:rPr>
        <w:t>[NIG]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APELLIDOS]</w:t>
      </w:r>
      <w:r>
        <w:rPr>
          <w:rFonts w:ascii="Liberation Sans" w:hAnsi="Liberation Sans" w:eastAsia="Liberation Sans"/>
          <w:b w:val="0"/>
        </w:rPr>
        <w:t>, parte solicitante, comparece y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Que </w:t>
      </w:r>
      <w:r>
        <w:rPr>
          <w:rFonts w:ascii="Liberation Sans" w:hAnsi="Liberation Sans" w:eastAsia="Liberation Sans"/>
          <w:b/>
          <w:color w:val="0066CC"/>
          <w:shd w:fill="FFF2CC"/>
        </w:rPr>
        <w:t>[EMPRESA/FOGASA]</w:t>
      </w:r>
      <w:r>
        <w:rPr>
          <w:rFonts w:ascii="Liberation Sans" w:hAnsi="Liberation Sans" w:eastAsia="Liberation Sans"/>
          <w:b w:val="0"/>
        </w:rPr>
        <w:t xml:space="preserve"> ha formulado oposición parcial mediante escrito de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 xml:space="preserve">, notificado a esta parte el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En dicho escrito se reconoce o no se impugna la cantidad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 correspondiente a </w:t>
      </w:r>
      <w:r>
        <w:rPr>
          <w:rFonts w:ascii="Liberation Sans" w:hAnsi="Liberation Sans" w:eastAsia="Liberation Sans"/>
          <w:b/>
          <w:color w:val="0066CC"/>
          <w:shd w:fill="FFF2CC"/>
        </w:rPr>
        <w:t>[CONCEPTO Y PERIODO]</w:t>
      </w:r>
      <w:r>
        <w:rPr>
          <w:rFonts w:ascii="Liberation Sans" w:hAnsi="Liberation Sans" w:eastAsia="Liberation Sans"/>
          <w:b w:val="0"/>
        </w:rPr>
        <w:t xml:space="preserve">, como resulta de </w:t>
      </w:r>
      <w:r>
        <w:rPr>
          <w:rFonts w:ascii="Liberation Sans" w:hAnsi="Liberation Sans" w:eastAsia="Liberation Sans"/>
          <w:b/>
          <w:color w:val="0066CC"/>
          <w:shd w:fill="FFF2CC"/>
        </w:rPr>
        <w:t>[PÁGINA/PÁRRAFO/CITA PRECISA]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controversia queda limitada a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 por </w:t>
      </w:r>
      <w:r>
        <w:rPr>
          <w:rFonts w:ascii="Liberation Sans" w:hAnsi="Liberation Sans" w:eastAsia="Liberation Sans"/>
          <w:b/>
          <w:color w:val="0066CC"/>
          <w:shd w:fill="FFF2CC"/>
        </w:rPr>
        <w:t>[CONCEPTOS CONTROVERTIDOS]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El artículo 101.f LRJS permite solicitar auto acogiendo la reclamación respecto de las cantidades reconocidas o no impugnadas, sin esperar a la resolución de las restantes.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SUPLICO AL TRIBUNAL que dicte auto acogiendo la reclamación por importe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 correspondiente a </w:t>
      </w:r>
      <w:r>
        <w:rPr>
          <w:rFonts w:ascii="Liberation Sans" w:hAnsi="Liberation Sans" w:eastAsia="Liberation Sans"/>
          <w:b/>
          <w:color w:val="0066CC"/>
          <w:shd w:fill="FFF2CC"/>
        </w:rPr>
        <w:t>[CONCEPTO]</w:t>
      </w:r>
      <w:r>
        <w:rPr>
          <w:rFonts w:ascii="Liberation Sans" w:hAnsi="Liberation Sans" w:eastAsia="Liberation Sans"/>
          <w:b w:val="0"/>
        </w:rPr>
        <w:t>, declarando que dicho auto sirve de título de ejecución, sin perjuicio de la continuación del procedimiento respecto de las cantidades controvertidas.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Liberation Sans" w:hAnsi="Liberation Sans" w:eastAsia="Liberation Sans"/>
          <w:b w:val="0"/>
        </w:rPr>
        <w:t>ESCRITO B · SOLICITUD DE EJECUCIÓN DEL AUTO</w:t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Procedimiento monitorio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[NÚMERO/AÑO]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NIG: </w:t>
      </w:r>
      <w:r>
        <w:rPr>
          <w:rFonts w:ascii="Liberation Sans" w:hAnsi="Liberation Sans" w:eastAsia="Liberation Sans"/>
          <w:b/>
          <w:color w:val="0066CC"/>
          <w:shd w:fill="FFF2CC"/>
        </w:rPr>
        <w:t>[NIG]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APELLIDOS]</w:t>
      </w:r>
      <w:r>
        <w:rPr>
          <w:rFonts w:ascii="Liberation Sans" w:hAnsi="Liberation Sans" w:eastAsia="Liberation Sans"/>
          <w:b w:val="0"/>
        </w:rPr>
        <w:t>, parte ejecutante, comparece y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PRIMERO. En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 xml:space="preserve"> se dictó auto al amparo del artículo 101.f LRJS acogiendo la reclamación por importe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 respecto de </w:t>
      </w:r>
      <w:r>
        <w:rPr>
          <w:rFonts w:ascii="Liberation Sans" w:hAnsi="Liberation Sans" w:eastAsia="Liberation Sans"/>
          <w:b/>
          <w:color w:val="0066CC"/>
          <w:shd w:fill="FFF2CC"/>
        </w:rPr>
        <w:t>[CONCEPTO]</w:t>
      </w:r>
      <w:r>
        <w:rPr>
          <w:rFonts w:ascii="Liberation Sans" w:hAnsi="Liberation Sans" w:eastAsia="Liberation Sans"/>
          <w:b w:val="0"/>
        </w:rPr>
        <w:t xml:space="preserve">. El auto fue notificado el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SEGUNDO. La empresa no ha abonado dicha cantidad </w:t>
      </w:r>
      <w:r>
        <w:rPr>
          <w:rFonts w:ascii="Liberation Sans" w:hAnsi="Liberation Sans" w:eastAsia="Liberation Sans"/>
          <w:b/>
          <w:color w:val="0066CC"/>
          <w:shd w:fill="FFF2CC"/>
        </w:rPr>
        <w:t>[O: ha abonado [IMPORTE]</w:t>
      </w:r>
      <w:r>
        <w:rPr>
          <w:rFonts w:ascii="Liberation Sans" w:hAnsi="Liberation Sans" w:eastAsia="Liberation Sans"/>
          <w:b w:val="0"/>
        </w:rPr>
        <w:t xml:space="preserve"> euros, quedando pendientes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euros].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TERCERO. La liquidación a fecha de este escrito es: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  <w:tblHeader w:val="true"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Concepto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Importe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Principal reconocido en el auto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Pagos posteriores a descontar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-</w:t>
            </w: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</w:rPr>
              <w:t>Principal pendiente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</w:rPr>
              <w:t>[€]</w:t>
            </w:r>
          </w:p>
        </w:tc>
      </w:tr>
      <w:tr>
        <w:trPr>
          <w:cantSplit/>
        </w:trPr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 w:val="0"/>
                <w:color w:val="1F2937"/>
                <w:sz w:val="18"/>
              </w:rPr>
              <w:t>Intereses que legalmente procedan</w:t>
            </w:r>
          </w:p>
        </w:tc>
        <w:tc>
          <w:tcPr>
            <w:tcW w:type="dxa" w:w="4958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8"/>
                <w:shd w:fill="FFF2CC"/>
              </w:rPr>
              <w:t>[A DETERMINAR/CÁLCULO]</w:t>
            </w:r>
          </w:p>
        </w:tc>
      </w:tr>
    </w:tbl>
    <w:p>
      <w:pPr>
        <w:spacing w:after="0"/>
      </w:pP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CUARTO. Se conocen los siguientes datos patrimoniales o de localización de la ejecutada: </w:t>
      </w:r>
      <w:r>
        <w:rPr>
          <w:rFonts w:ascii="Liberation Sans" w:hAnsi="Liberation Sans" w:eastAsia="Liberation Sans"/>
          <w:b/>
          <w:color w:val="0066CC"/>
          <w:shd w:fill="FFF2CC"/>
        </w:rPr>
        <w:t>[CUENTAS, CLIENTES, VEHÍCULOS, INMUEBLES, DOMICILIOS O «NO SE CONOCEN»]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SUPLICO AL TRIBUNAL que: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Tenga por instada la ejecución del auto de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Despache ejecución frente a </w:t>
      </w:r>
      <w:r>
        <w:rPr>
          <w:rFonts w:ascii="Liberation Sans" w:hAnsi="Liberation Sans" w:eastAsia="Liberation Sans"/>
          <w:b/>
          <w:color w:val="0066CC"/>
          <w:shd w:fill="FFF2CC"/>
        </w:rPr>
        <w:t>[EMPRESA]</w:t>
      </w:r>
      <w:r>
        <w:rPr>
          <w:rFonts w:ascii="Liberation Sans" w:hAnsi="Liberation Sans" w:eastAsia="Liberation Sans"/>
          <w:b w:val="0"/>
        </w:rPr>
        <w:t xml:space="preserve">, NIF </w:t>
      </w:r>
      <w:r>
        <w:rPr>
          <w:rFonts w:ascii="Liberation Sans" w:hAnsi="Liberation Sans" w:eastAsia="Liberation Sans"/>
          <w:b/>
          <w:color w:val="0066CC"/>
          <w:shd w:fill="FFF2CC"/>
        </w:rPr>
        <w:t>[NIF]</w:t>
      </w:r>
      <w:r>
        <w:rPr>
          <w:rFonts w:ascii="Liberation Sans" w:hAnsi="Liberation Sans" w:eastAsia="Liberation Sans"/>
          <w:b w:val="0"/>
        </w:rPr>
        <w:t xml:space="preserve">, por </w:t>
      </w:r>
      <w:r>
        <w:rPr>
          <w:rFonts w:ascii="Liberation Sans" w:hAnsi="Liberation Sans" w:eastAsia="Liberation Sans"/>
          <w:b/>
          <w:color w:val="0066CC"/>
          <w:shd w:fill="FFF2CC"/>
        </w:rPr>
        <w:t>[PRINCIPAL PENDIENTE]</w:t>
      </w:r>
      <w:r>
        <w:rPr>
          <w:rFonts w:ascii="Liberation Sans" w:hAnsi="Liberation Sans" w:eastAsia="Liberation Sans"/>
          <w:b w:val="0"/>
        </w:rPr>
        <w:t xml:space="preserve"> euros, más los intereses y demás cantidades que legalmente procedan.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3. Practique averiguación patrimonial y acuerde el embargo de bienes, saldos, créditos, devoluciones tributarias y demás derechos de la ejecutada en cuantía suficiente.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4. Dé intervención al Fondo de Garantía Salarial cuando legalmente proceda.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sectPr>
      <w:headerReference w:type="default" r:id="rId9"/>
      <w:footerReference w:type="default" r:id="rId10"/>
      <w:pgSz w:w="12240" w:h="15840"/>
      <w:pgMar w:top="1049" w:right="1162" w:bottom="935" w:left="1162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5F6B7A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3" w:color="C9D6E2"/>
      </w:pBdr>
    </w:pPr>
    <w:r>
      <w:rPr>
        <w:rFonts w:ascii="Liberation Sans" w:hAnsi="Liberation Sans" w:eastAsia="Liberation Sans"/>
        <w:b/>
        <w:color w:val="1F6FEB"/>
        <w:sz w:val="16"/>
      </w:rPr>
      <w:t>MODELO LABORAL 4 · OPOSICIÓN PARCIAL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4" w:line="269" w:lineRule="auto"/>
    </w:pPr>
    <w:rPr>
      <w:rFonts w:ascii="Liberation Sans" w:hAnsi="Liberation San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1F6FE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80" w:after="100"/>
      <w:outlineLvl w:val="3"/>
    </w:pPr>
    <w:rPr>
      <w:rFonts w:asciiTheme="majorHAnsi" w:eastAsiaTheme="majorEastAsia" w:hAnsiTheme="majorHAnsi" w:cstheme="majorBidi" w:ascii="Liberation Sans" w:hAnsi="Liberation Sans"/>
      <w:b/>
      <w:bCs/>
      <w:i/>
      <w:iCs/>
      <w:color w:val="1F6FEB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Liberation Sans" w:hAnsi="Liberation Sans"/>
      <w:color w:val="5F6B7A"/>
      <w:sz w:val="17"/>
    </w:rPr>
  </w:style>
  <w:style w:type="paragraph" w:customStyle="1" w:styleId="Legalbody">
    <w:name w:val="Legal body"/>
    <w:pPr>
      <w:widowControl/>
      <w:spacing w:after="140" w:line="276" w:lineRule="auto"/>
    </w:pPr>
    <w:rPr>
      <w:rFonts w:ascii="Liberation Sans" w:hAnsi="Liberation Sans"/>
      <w:sz w:val="20"/>
    </w:rPr>
  </w:style>
  <w:style w:type="paragraph" w:customStyle="1" w:styleId="Modelheading">
    <w:name w:val="Model heading"/>
    <w:pPr>
      <w:keepNext/>
      <w:spacing w:before="160" w:after="120"/>
    </w:pPr>
    <w:rPr>
      <w:rFonts w:ascii="Liberation Sans" w:hAnsi="Liberation Sans"/>
      <w:b/>
      <w:color w:val="1F2937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eli/es/l/2011/10/10/36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obtener y ejecutar la parte no impugnada del monitorio laboral</dc:title>
  <dc:subject>España · artículo 101.f LRJS</dc:subject>
  <dc:creator/>
  <cp:keywords/>
  <dc:description>Revisión jurídica 4 de septiembre de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