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spacing w:after="100" w:line="259" w:lineRule="auto"/>
        <w:keepNext/>
      </w:pPr>
      <w:r>
        <w:rPr>
          <w:rFonts w:ascii="Arial" w:hAnsi="Arial" w:eastAsia="Arial" w:cs="Arial"/>
          <w:sz w:val="28"/>
          <w:color w:val="000000"/>
          <w:b/>
        </w:rPr>
        <w:t xml:space="preserve">Ejecución de sentencia laboral de cantidad</w:t>
      </w:r>
    </w:p>
    <w:p>
      <w:pPr>
        <w:jc w:val="center"/>
        <w:spacing w:after="100" w:line="259" w:lineRule="auto"/>
      </w:pPr>
      <w:r>
        <w:rPr>
          <w:rFonts w:ascii="Arial" w:hAnsi="Arial" w:eastAsia="Arial" w:cs="Arial"/>
          <w:sz w:val="21"/>
          <w:color w:val="000000"/>
          <w:i/>
        </w:rPr>
        <w:t xml:space="preserve">Para una sentencia firme de pago frente a una empresa privada</w:t>
      </w:r>
    </w:p>
    <w:p>
      <w:pPr>
        <w:jc w:val="left"/>
        <w:spacing w:after="100" w:line="259" w:lineRule="auto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AL ÓRGANO JUDICIAL SOCIAL [DENOMINACIÓN Y LOCALIDAD]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Procedimiento [NÚMERO Y AÑO] · Sentencia [NÚMERO Y FECHA]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D./D.ª [NOMBRE Y APELLIDOS], con [DOCUMENTO IDENTIFICATIVO], domicilio a efectos de notificaciones en [DOMICILIO Y CANAL ADMITIDO], parte demandante en los autos indicados, solicito la ejecución definitiva dineraria por los siguientes hechos.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Título y deuda pendiente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La sentencia condena a [RAZÓN SOCIAL, NIF Y DOMICILIO DE LA EMPRESA] a pagar [CONCEPTOS E IMPORTES SEGÚN EL FALLO]. Su firmeza consta en [RESOLUCIÓN O CONSTANCIA Y FECHA] y la obligación es exigible desde [FECHA Y FUNDAMENTO EN EL TÍTULO].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El principal pendiente es [IMPORTE] euros. Los pagos y consignaciones que afectan al saldo son [FECHAS, IMPORTES E IMPUTACIÓN, O INDICA QUE NO CONSTAN]. Su desglose y justificantes se adjuntan como [DOCUMENTOS].</w:t>
      </w:r>
    </w:p>
    <w:tbl>
      <w:tblPr>
        <w:tblW w:w="9026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3500"/>
        <w:gridCol w:w="2763"/>
        <w:gridCol w:w="2763"/>
      </w:tblGrid>
      <w:tr>
        <w:trPr>
          <w:cantSplit/>
          <w:tblHeader/>
        </w:trPr>
        <w:tc>
          <w:tcPr>
            <w:tcW w:w="3500" w:type="dxa"/>
            <w:vAlign w:val="center"/>
            <w:shd w:fill="F2F2F2" w:val="clear"/>
          </w:tcPr>
          <w:p>
            <w:pPr>
              <w:jc w:val="center"/>
              <w:spacing w:after="100" w:line="259" w:lineRule="auto"/>
              <w:keepNext/>
            </w:pPr>
            <w:r>
              <w:rPr>
                <w:rFonts w:ascii="Arial" w:hAnsi="Arial" w:eastAsia="Arial" w:cs="Arial"/>
                <w:sz w:val="20"/>
                <w:color w:val="000000"/>
                <w:b/>
              </w:rPr>
              <w:t xml:space="preserve">Principal reconocido €</w:t>
            </w:r>
          </w:p>
        </w:tc>
        <w:tc>
          <w:tcPr>
            <w:tcW w:w="2763" w:type="dxa"/>
            <w:vAlign w:val="center"/>
            <w:shd w:fill="F2F2F2" w:val="clear"/>
          </w:tcPr>
          <w:p>
            <w:pPr>
              <w:jc w:val="center"/>
              <w:spacing w:after="100" w:line="259" w:lineRule="auto"/>
              <w:keepNext/>
            </w:pPr>
            <w:r>
              <w:rPr>
                <w:rFonts w:ascii="Arial" w:hAnsi="Arial" w:eastAsia="Arial" w:cs="Arial"/>
                <w:sz w:val="20"/>
                <w:color w:val="000000"/>
                <w:b/>
              </w:rPr>
              <w:t xml:space="preserve">Pagos imputados al principal €</w:t>
            </w:r>
          </w:p>
        </w:tc>
        <w:tc>
          <w:tcPr>
            <w:tcW w:w="2763" w:type="dxa"/>
            <w:vAlign w:val="center"/>
            <w:shd w:fill="F2F2F2" w:val="clear"/>
          </w:tcPr>
          <w:p>
            <w:pPr>
              <w:jc w:val="center"/>
              <w:spacing w:after="100" w:line="259" w:lineRule="auto"/>
              <w:keepNext/>
            </w:pPr>
            <w:r>
              <w:rPr>
                <w:rFonts w:ascii="Arial" w:hAnsi="Arial" w:eastAsia="Arial" w:cs="Arial"/>
                <w:sz w:val="20"/>
                <w:color w:val="000000"/>
                <w:b/>
              </w:rPr>
              <w:t xml:space="preserve">Principal pendiente €</w:t>
            </w:r>
          </w:p>
        </w:tc>
      </w:tr>
      <w:tr>
        <w:trPr>
          <w:cantSplit/>
        </w:trPr>
        <w:tc>
          <w:tcPr>
            <w:tcW w:w="3500" w:type="dxa"/>
            <w:vAlign w:val="center"/>
          </w:tcPr>
          <w:p>
            <w:pPr>
              <w:jc w:val="right"/>
              <w:spacing w:after="100" w:line="259" w:lineRule="auto"/>
            </w:pPr>
            <w:r>
              <w:rPr>
                <w:rFonts w:ascii="Arial" w:hAnsi="Arial" w:eastAsia="Arial" w:cs="Arial"/>
                <w:sz w:val="20"/>
                <w:color w:val="000000"/>
              </w:rPr>
              <w:t xml:space="preserve">[IMPORTE]</w:t>
            </w:r>
          </w:p>
        </w:tc>
        <w:tc>
          <w:tcPr>
            <w:tcW w:w="2763" w:type="dxa"/>
            <w:vAlign w:val="center"/>
          </w:tcPr>
          <w:p>
            <w:pPr>
              <w:jc w:val="right"/>
              <w:spacing w:after="100" w:line="259" w:lineRule="auto"/>
            </w:pPr>
            <w:r>
              <w:rPr>
                <w:rFonts w:ascii="Arial" w:hAnsi="Arial" w:eastAsia="Arial" w:cs="Arial"/>
                <w:sz w:val="20"/>
                <w:color w:val="000000"/>
              </w:rPr>
              <w:t xml:space="preserve">[IMPORTE]</w:t>
            </w:r>
          </w:p>
        </w:tc>
        <w:tc>
          <w:tcPr>
            <w:tcW w:w="2763" w:type="dxa"/>
            <w:vAlign w:val="center"/>
          </w:tcPr>
          <w:p>
            <w:pPr>
              <w:jc w:val="right"/>
              <w:spacing w:after="100" w:line="259" w:lineRule="auto"/>
            </w:pPr>
            <w:r>
              <w:rPr>
                <w:rFonts w:ascii="Arial" w:hAnsi="Arial" w:eastAsia="Arial" w:cs="Arial"/>
                <w:sz w:val="20"/>
                <w:color w:val="000000"/>
              </w:rPr>
              <w:t xml:space="preserve">[DIFERENCIA]</w:t>
            </w:r>
          </w:p>
        </w:tc>
      </w:tr>
    </w:tbl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Previsión y medidas de ejecución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Estimo provisionalmente [IMPORTE] euros para intereses y [IMPORTE] euros para costas, con el cálculo y criterio que adjunto como [DOCUMENTO], conforme al artículo 251 LRJS y sin perjuicio de la liquidación definitiva.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Sobre bienes de la ejecutada: [INDICA LOS CONOCIDOS LÍCITAMENTE Y SI SON SUFICIENTES, O QUE NO CONOCES BIENES SUFICIENTES]. Solicito su embargo en lo procedente y, si son desconocidos o insuficientes, la investigación patrimonial del artículo 250 LRJS.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Solicito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Que se despache ejecución frente a la empresa condenada por el principal pendiente y las cantidades provisionales indicadas, se acuerden las medidas solicitadas y se continúe hasta satisfacer lo debido, con los intereses que procedan y la intervención legal del FOGASA cuando corresponda.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Documentos adjuntos: [ENUMERA TÍTULO Y FIRMEZA SI PROCEDE, DESGLOSE, PAGOS, CÁLCULO Y OTROS DOCUMENTOS PERTINENTES].</w:t>
      </w:r>
    </w:p>
    <w:p>
      <w:pPr>
        <w:jc w:val="righ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En [LOCALIDAD], a [FECHA]</w:t>
      </w:r>
    </w:p>
    <w:p>
      <w:pPr>
        <w:jc w:val="center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[FIRMA Y NOMBRE]</w:t>
      </w:r>
    </w:p>
    <w:p>
      <w:pPr>
        <w:pStyle w:val="Title"/>
        <w:jc w:val="center"/>
        <w:spacing w:after="100" w:line="259" w:lineRule="auto"/>
        <w:keepNext/>
        <w:pageBreakBefore/>
      </w:pPr>
      <w:r>
        <w:rPr>
          <w:rFonts w:ascii="Arial" w:hAnsi="Arial" w:eastAsia="Arial" w:cs="Arial"/>
          <w:sz w:val="28"/>
          <w:color w:val="000000"/>
          <w:b/>
        </w:rPr>
        <w:t xml:space="preserve">Guía para preparar y presentar el escrito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Retira esta guía antes de presentar el escrito. Completa todos los campos y comprueba el expediente. Descargar el modelo no inicia una ejecución, no suspende plazos y no garantiza el cobro.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Cuándo puedes usarlo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Para iniciar la ejecución definitiva de una condena líquida de pago en sentencia laboral firme frente a una empresa privada. No sirve para readmisión, prestaciones públicas de Seguridad Social, concurso, sentencia recurrida ni ejecución provisional o de pronunciamientos parcialmente recurridos. Los acuerdos del SMAC y el monitorio tienen títulos y reglas propios. Si ya existe ejecución, no abras otra sin revisar el expediente: puede corresponder pedir continuación o una actuación concreta.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Órgano y fechas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La regla es el órgano que conoció del asunto en instancia, con las especialidades de los órganos o servicios de ejecución. Copia su denominación actual. Comprueba firmeza, exigibilidad, notificaciones y actuaciones previas: la regla dineraria laboral es un año de prescripción, con sus posibles incidencias. No es el plazo civil de cinco años ni el plazo de readmisión.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No se aplica la espera civil de veinte días del artículo 548 LEC. La LRJS sí excluye costas si la empresa cumple íntegramente en los veinte días del artículo 239.3; son reglas diferentes. Presenta por el canal judicial admitido y guarda registro y copia. Un correo ordinario al juzgado no equivale por sí solo a una presentación válida.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Cómo completar las cantidades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Respeta los conceptos del fallo. Conciliar importes brutos, retenciones, pagos netos y consignaciones puede exigir revisión: no restes un ingreso neto de una condena bruta sin justificar su imputación. No añadas salarios o responsables que el título no reconoce.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Ejemplo ficticio solo para preparar el saldo: principal reconocido de 3.000 € y pago acreditado de 1.000 € imputable a ese mismo principal, en la misma magnitud y sin retenciones pendientes: quedarían 2.000 €. No copies estas cifras en el escrito.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Calcula aparte los intereses y costas provisionales. Como regla, el artículo 251 limita la previsión a un año de intereses y al 10 % del principal para costas, salvo decisión motivada. No apliques automáticamente un 30 %. El interés procesal sigue el artículo 576 LEC; no dupliques el interés salarial ya reconocido. La previsión no es una cantidad concedida ni el precio de un abogado. Si no puedes justificarla, pide revisión del cálculo antes de presentar.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Bienes y seguimiento</w:t>
      </w:r>
    </w:p>
    <w:p>
      <w:pPr>
        <w:jc w:val="left"/>
        <w:spacing w:after="100" w:line="259" w:lineRule="auto"/>
      </w:pPr>
      <w:r>
        <w:rPr>
          <w:rFonts w:ascii="Arial" w:hAnsi="Arial" w:eastAsia="Arial" w:cs="Arial"/>
          <w:sz w:val="22"/>
          <w:color w:val="000000"/>
        </w:rPr>
        <w:t xml:space="preserve">Aporta solo bienes o créditos de la empresa que conozcas lícitamente. No conocer cuentas no impide pedir investigación patrimonial. No solicites embargo a un administrador u otra sociedad por la sola falta de pago. Una eventual insolvencia y la solicitud a FOGASA tienen trámites, títulos, límites y plazos propios. Comprueba las notificaciones y responde a los requerimientos del procedimiento.</w:t>
      </w:r>
    </w:p>
    <w:p>
      <w:pPr>
        <w:jc w:val="left"/>
        <w:spacing w:after="100" w:line="259" w:lineRule="auto" w:before="100"/>
        <w:keepNext/>
      </w:pPr>
      <w:r>
        <w:rPr>
          <w:rFonts w:ascii="Arial" w:hAnsi="Arial" w:eastAsia="Arial" w:cs="Arial"/>
          <w:sz w:val="22"/>
          <w:color w:val="000000"/>
          <w:b/>
        </w:rPr>
        <w:t xml:space="preserve">Guía ampliada y fuentes</w:t>
      </w:r>
    </w:p>
    <w:p>
      <w:pPr>
        <w:spacing w:after="70"/>
      </w:pPr>
      <w:hyperlink r:id="rIdExecution006_1">
        <w:r>
          <w:rPr>
            <w:rFonts w:ascii="Arial" w:hAnsi="Arial"/>
            <w:sz w:val="20"/>
            <w:color w:val="245943"/>
            <w:u w:val="single"/>
          </w:rPr>
          <w:t>Guía de ejecución y ayuda profesional</w:t>
        </w:r>
      </w:hyperlink>
    </w:p>
    <w:p>
      <w:pPr>
        <w:spacing w:after="70"/>
      </w:pPr>
      <w:hyperlink r:id="rIdExecution006_2">
        <w:r>
          <w:rPr>
            <w:rFonts w:ascii="Arial" w:hAnsi="Arial"/>
            <w:sz w:val="20"/>
            <w:color w:val="245943"/>
            <w:u w:val="single"/>
          </w:rPr>
          <w:t>LRJS 239 y siguientes en el BOE</w:t>
        </w:r>
      </w:hyperlink>
    </w:p>
    <w:p>
      <w:pPr>
        <w:spacing w:after="70"/>
      </w:pPr>
      <w:hyperlink r:id="rIdExecution006_3">
        <w:r>
          <w:rPr>
            <w:rFonts w:ascii="Arial" w:hAnsi="Arial"/>
            <w:sz w:val="20"/>
            <w:color w:val="245943"/>
            <w:u w:val="single"/>
          </w:rPr>
          <w:t>LEC 576 en el BOE</w:t>
        </w:r>
      </w:hyperlink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15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34" TargetMode="External"/><Relationship Id="rId12" Type="http://schemas.openxmlformats.org/officeDocument/2006/relationships/hyperlink" Target="https://www.boe.es/buscar/act.php?id=BOE-A-2021-11472" TargetMode="External"/><Relationship Id="rIdExecution006_1" Type="http://schemas.openxmlformats.org/officeDocument/2006/relationships/hyperlink" Target="https://calmalegal.es/ejecutar-sentencia-laboral-impagada" TargetMode="External"/><Relationship Id="rIdExecution006_2" Type="http://schemas.openxmlformats.org/officeDocument/2006/relationships/hyperlink" Target="https://www.boe.es/buscar/act.php?id=BOE-A-2011-15936#a239" TargetMode="External"/><Relationship Id="rIdExecution006_3" Type="http://schemas.openxmlformats.org/officeDocument/2006/relationships/hyperlink" Target="https://www.boe.es/buscar/act.php?id=BOE-A-2000-323#a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Ejecución de sentencia laboral de cantidad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