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2"/>
        </w:rPr>
        <w:t>MODELO EDITABLE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8"/>
        </w:rPr>
        <w:t>Voluntad de mantener el empleo tras incapacidad permanente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 w:val="0"/>
          <w:sz w:val="22"/>
        </w:rPr>
        <w:t>Completa los campos entre corchetes y elimina las alternativas que no correspondan.</w:t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18"/>
        </w:rPr>
        <w:t>TEXTO DEL ESCRITO · PARA ADAPTAR Y ENVIAR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A LA ATENCIÓN DE </w:t>
      </w:r>
      <w:r>
        <w:rPr>
          <w:rFonts w:ascii="Arial" w:hAnsi="Arial" w:eastAsia="Arial" w:cs="Arial"/>
          <w:b w:val="0"/>
          <w:color w:val="000000"/>
          <w:sz w:val="22"/>
        </w:rPr>
        <w:t>[EMPRESA / RECURSOS HUMANOS]</w:t>
      </w:r>
      <w:r>
        <w:rPr>
          <w:rFonts w:ascii="Arial" w:hAnsi="Arial" w:eastAsia="Arial" w:cs="Arial"/>
          <w:b w:val="0"/>
          <w:sz w:val="22"/>
        </w:rPr>
        <w:br/>
        <w:t xml:space="preserve">De: </w:t>
      </w:r>
      <w:r>
        <w:rPr>
          <w:rFonts w:ascii="Arial" w:hAnsi="Arial" w:eastAsia="Arial" w:cs="Arial"/>
          <w:b w:val="0"/>
          <w:color w:val="000000"/>
          <w:sz w:val="22"/>
        </w:rPr>
        <w:t>[NOMBRE Y APELLIDOS]</w:t>
      </w:r>
      <w:r>
        <w:rPr>
          <w:rFonts w:ascii="Arial" w:hAnsi="Arial" w:eastAsia="Arial" w:cs="Arial"/>
          <w:b w:val="0"/>
          <w:sz w:val="22"/>
        </w:rPr>
        <w:t xml:space="preserve"> · DNI/NIE: </w:t>
      </w:r>
      <w:r>
        <w:rPr>
          <w:rFonts w:ascii="Arial" w:hAnsi="Arial" w:eastAsia="Arial" w:cs="Arial"/>
          <w:b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sz w:val="22"/>
        </w:rPr>
        <w:br/>
        <w:t xml:space="preserve">Centro y puesto: </w:t>
      </w:r>
      <w:r>
        <w:rPr>
          <w:rFonts w:ascii="Arial" w:hAnsi="Arial" w:eastAsia="Arial" w:cs="Arial"/>
          <w:b w:val="0"/>
          <w:color w:val="000000"/>
          <w:sz w:val="22"/>
        </w:rPr>
        <w:t>[DATOS]</w:t>
      </w:r>
      <w:r>
        <w:rPr>
          <w:rFonts w:ascii="Arial" w:hAnsi="Arial" w:eastAsia="Arial" w:cs="Arial"/>
          <w:b w:val="0"/>
          <w:sz w:val="22"/>
        </w:rPr>
        <w:br/>
        <w:t xml:space="preserve">En </w:t>
      </w:r>
      <w:r>
        <w:rPr>
          <w:rFonts w:ascii="Arial" w:hAnsi="Arial" w:eastAsia="Arial" w:cs="Arial"/>
          <w:b w:val="0"/>
          <w:color w:val="000000"/>
          <w:sz w:val="22"/>
        </w:rPr>
        <w:t>[LOCALIDAD]</w:t>
      </w:r>
      <w:r>
        <w:rPr>
          <w:rFonts w:ascii="Arial" w:hAnsi="Arial" w:eastAsia="Arial" w:cs="Arial"/>
          <w:b w:val="0"/>
          <w:sz w:val="22"/>
        </w:rPr>
        <w:t xml:space="preserve">, a </w:t>
      </w:r>
      <w:r>
        <w:rPr>
          <w:rFonts w:ascii="Arial" w:hAnsi="Arial" w:eastAsia="Arial" w:cs="Arial"/>
          <w:b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El </w:t>
      </w:r>
      <w:r>
        <w:rPr>
          <w:rFonts w:ascii="Arial" w:hAnsi="Arial" w:eastAsia="Arial" w:cs="Arial"/>
          <w:b w:val="0"/>
          <w:color w:val="000000"/>
          <w:sz w:val="22"/>
        </w:rPr>
        <w:t>[FECHA]</w:t>
      </w:r>
      <w:r>
        <w:rPr>
          <w:rFonts w:ascii="Arial" w:hAnsi="Arial" w:eastAsia="Arial" w:cs="Arial"/>
          <w:b w:val="0"/>
          <w:sz w:val="22"/>
        </w:rPr>
        <w:t xml:space="preserve"> recibí la resolución de </w:t>
      </w:r>
      <w:r>
        <w:rPr>
          <w:rFonts w:ascii="Arial" w:hAnsi="Arial" w:eastAsia="Arial" w:cs="Arial"/>
          <w:b w:val="0"/>
          <w:color w:val="000000"/>
          <w:sz w:val="22"/>
        </w:rPr>
        <w:t>[ORGANISMO]</w:t>
      </w:r>
      <w:r>
        <w:rPr>
          <w:rFonts w:ascii="Arial" w:hAnsi="Arial" w:eastAsia="Arial" w:cs="Arial"/>
          <w:b w:val="0"/>
          <w:sz w:val="22"/>
        </w:rPr>
        <w:t xml:space="preserve">, expediente </w:t>
      </w:r>
      <w:r>
        <w:rPr>
          <w:rFonts w:ascii="Arial" w:hAnsi="Arial" w:eastAsia="Arial" w:cs="Arial"/>
          <w:b w:val="0"/>
          <w:color w:val="000000"/>
          <w:sz w:val="22"/>
        </w:rPr>
        <w:t>[NÚMERO]</w:t>
      </w:r>
      <w:r>
        <w:rPr>
          <w:rFonts w:ascii="Arial" w:hAnsi="Arial" w:eastAsia="Arial" w:cs="Arial"/>
          <w:b w:val="0"/>
          <w:sz w:val="22"/>
        </w:rPr>
        <w:t xml:space="preserve">, que reconoce una incapacidad permanente en grado </w:t>
      </w:r>
      <w:r>
        <w:rPr>
          <w:rFonts w:ascii="Arial" w:hAnsi="Arial" w:eastAsia="Arial" w:cs="Arial"/>
          <w:b w:val="0"/>
          <w:color w:val="000000"/>
          <w:sz w:val="22"/>
        </w:rPr>
        <w:t>[TOTAL / ABSOLUTA / GRAN INCAPACIDAD]</w:t>
      </w:r>
      <w:r>
        <w:rPr>
          <w:rFonts w:ascii="Arial" w:hAnsi="Arial" w:eastAsia="Arial" w:cs="Arial"/>
          <w:b w:val="0"/>
          <w:sz w:val="22"/>
        </w:rPr>
        <w:t>. Se aporta copia de la resolución en sus extremos necesarios y justificante de mi notificación.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Dentro de los diez días naturales desde dicha notificación, MANIFIESTO EXPRESAMENTE MI VOLUNTAD DE MANTENER LA RELACIÓN LABORAL conforme al artículo 49.1.n ET.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Para valorar alternativas identifico mis tareas actuales [detalle], las limitaciones funcionales pertinentes [detalle] y los ajustes o puestos compatibles que propongo [propuestas]. Solicito que se documenten las opciones examinadas y su resultado.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 xml:space="preserve">Solicito que se valoren los ajustes razonables de mi puesto </w:t>
      </w:r>
      <w:r>
        <w:rPr>
          <w:rFonts w:ascii="Arial" w:hAnsi="Arial" w:eastAsia="Arial" w:cs="Arial"/>
          <w:b w:val="0"/>
          <w:color w:val="000000"/>
          <w:sz w:val="22"/>
        </w:rPr>
        <w:t>[PUESTO Y FUNCIONES]</w:t>
      </w:r>
      <w:r>
        <w:rPr>
          <w:rFonts w:ascii="Arial" w:hAnsi="Arial" w:eastAsia="Arial" w:cs="Arial"/>
          <w:b w:val="0"/>
          <w:sz w:val="22"/>
        </w:rPr>
        <w:t xml:space="preserve"> y, cuando proceda, las vacantes disponibles compatibles con mi perfil y situación. Propongo estudiar </w:t>
      </w:r>
      <w:r>
        <w:rPr>
          <w:rFonts w:ascii="Arial" w:hAnsi="Arial" w:eastAsia="Arial" w:cs="Arial"/>
          <w:b w:val="0"/>
          <w:color w:val="000000"/>
          <w:sz w:val="22"/>
        </w:rPr>
        <w:t>[AJUSTES O TAREAS COMPATIBLES, SI SE CONOCEN]</w:t>
      </w:r>
      <w:r>
        <w:rPr>
          <w:rFonts w:ascii="Arial" w:hAnsi="Arial" w:eastAsia="Arial" w:cs="Arial"/>
          <w:b w:val="0"/>
          <w:sz w:val="22"/>
        </w:rPr>
        <w:t>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Solicito intervención del servicio de prevención para evaluar la aptitud y las medidas necesarias, con respeto a la confidencialidad de mis datos de salud. Pido constancia de recepción y comunicación escrita de la decisión y sus motivos.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Atentamente,</w:t>
        <w:br/>
      </w:r>
      <w:r>
        <w:rPr>
          <w:rFonts w:ascii="Arial" w:hAnsi="Arial" w:eastAsia="Arial" w:cs="Arial"/>
          <w:b w:val="0"/>
          <w:color w:val="000000"/>
          <w:sz w:val="22"/>
        </w:rPr>
        <w:t>[FIRMA]</w:t>
      </w:r>
      <w:r>
        <w:rPr>
          <w:rFonts w:ascii="Arial" w:hAnsi="Arial" w:eastAsia="Arial" w:cs="Arial"/>
          <w:b w:val="0"/>
          <w:sz w:val="22"/>
        </w:rPr>
        <w:br/>
      </w:r>
      <w:r>
        <w:rPr>
          <w:rFonts w:ascii="Arial" w:hAnsi="Arial" w:eastAsia="Arial" w:cs="Arial"/>
          <w:b w:val="0"/>
          <w:color w:val="000000"/>
          <w:sz w:val="22"/>
        </w:rPr>
        <w:t>[NOMBRE Y APELLIDOS]</w:t>
      </w:r>
      <w:r>
        <w:rPr>
          <w:rFonts w:ascii="Arial" w:hAnsi="Arial" w:eastAsia="Arial" w:cs="Arial"/>
          <w:b w:val="0"/>
          <w:sz w:val="22"/>
        </w:rPr>
      </w:r>
    </w:p>
    <w:p>
      <w:pPr>
        <w:widowControl/>
      </w:pPr>
      <w:r>
        <w:rPr>
          <w:rFonts w:ascii="Arial" w:hAnsi="Arial" w:eastAsia="Arial" w:cs="Arial"/>
        </w:rPr>
        <w:br w:type="page"/>
      </w:r>
    </w:p>
    <w:p>
      <w:pPr>
        <w:widowControl/>
        <w:spacing w:after="140" w:line="259" w:lineRule="auto"/>
        <w:jc w:val="center"/>
      </w:pPr>
      <w:r>
        <w:rPr>
          <w:rFonts w:ascii="Arial" w:hAnsi="Arial" w:eastAsia="Arial" w:cs="Arial"/>
          <w:b/>
          <w:sz w:val="28"/>
        </w:rPr>
        <w:t>GUÍA DE USO</w:t>
      </w:r>
    </w:p>
    <w:p>
      <w:pPr>
        <w:widowControl/>
        <w:spacing w:after="140" w:line="259" w:lineRule="auto"/>
        <w:jc w:val="center"/>
      </w:pPr>
      <w:r>
        <w:t>NO ENVÍES LA GUÍA DE USO CON EL ESCRITO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Antes de enviarlo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El plazo de diez días es natural y empieza desde tu notificación. No esperes a que resuelvan una reclamación contra el grado de incapacidad. La empresa tiene hasta tres meses desde SU notificación para ajustes, cambio a vacante compatible o decisión extintiva motivada en los supuestos legales. Este escrito no garantiza conservar el puesto original ni equivale a estar autorizado para trabajar con cualquier limitación. Ante una extinción, comprueba inmediatamente los veinte días hábiles para impugnarla. La impugnación de la prestación ante el INSS es una vía diferente.</w:t>
      </w:r>
    </w:p>
    <w:p>
      <w:pPr>
        <w:keepNext/>
        <w:widowControl/>
        <w:spacing w:after="140" w:line="259" w:lineRule="auto"/>
      </w:pPr>
      <w:r>
        <w:rPr>
          <w:rFonts w:ascii="Arial" w:hAnsi="Arial"/>
          <w:b/>
          <w:color w:val="000000"/>
          <w:sz w:val="22"/>
        </w:rPr>
        <w:t>Datos y comprobaciones de este modelo</w:t>
      </w:r>
    </w:p>
    <w:p>
      <w:pPr>
        <w:keepNext w:val="0"/>
        <w:widowControl/>
        <w:spacing w:after="140" w:line="259" w:lineRule="auto"/>
      </w:pPr>
      <w:r>
        <w:rPr>
          <w:rFonts w:ascii="Arial" w:hAnsi="Arial"/>
          <w:b w:val="0"/>
          <w:color w:val="000000"/>
          <w:sz w:val="22"/>
        </w:rPr>
        <w:t>Anota separadamente la notificación que recibiste y la que recibió la empresa si la conoces. Expresa sin ambigüedad la voluntad de mantener el empleo. Describe tareas compatibles y alternativas razonables con apoyo funcional; no presentes un diagnóstico como evaluación preventiva completa.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Preparación y entrega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1. Completa fechas, destinatario, hechos y cantidades con datos que puedas acreditar.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2. Elimina opciones incompatibles y esta guía antes de presentar. No firmes campos en blanco.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3. Adjunta solo prueba pertinente; limita los datos médicos y de terceros.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22"/>
        </w:rPr>
        <w:t>4. Usa un canal que acredite contenido, fecha y recepción, y guarda el justificante.</w:t>
      </w:r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/>
          <w:sz w:val="22"/>
        </w:rPr>
        <w:t>Fuentes oficiales de referencia</w:t>
      </w:r>
    </w:p>
    <w:p>
      <w:pPr>
        <w:widowControl/>
        <w:spacing w:after="100"/>
      </w:pPr>
      <w:hyperlink r:id="rId9">
        <w:r>
          <w:rPr>
            <w:color w:val="000000"/>
          </w:rPr>
          <w:t>Estatuto de los Trabajadores, art. 49.1.n</w:t>
        </w:r>
      </w:hyperlink>
    </w:p>
    <w:p>
      <w:pPr>
        <w:widowControl/>
        <w:spacing w:after="100"/>
      </w:pPr>
      <w:hyperlink r:id="rId10">
        <w:r>
          <w:rPr>
            <w:color w:val="000000"/>
          </w:rPr>
          <w:t>Prevención de riesgos laborales, arts. 22 y 25</w:t>
        </w:r>
      </w:hyperlink>
    </w:p>
    <w:p>
      <w:pPr>
        <w:widowControl/>
        <w:spacing w:after="140" w:line="259" w:lineRule="auto"/>
        <w:jc w:val="left"/>
      </w:pPr>
      <w:r>
        <w:rPr>
          <w:rFonts w:ascii="Arial" w:hAnsi="Arial" w:eastAsia="Arial" w:cs="Arial"/>
          <w:b w:val="0"/>
          <w:sz w:val="18"/>
        </w:rPr>
        <w:t>Modelo general. La plantilla no presenta ningún trámite ni garantiza el resultado. Revisión: 20 de septiembre de 2026.</w:t>
      </w:r>
    </w:p>
    <w:sectPr w:rsidR="00FC693F" w:rsidRPr="0006063C" w:rsidSect="00034616">
      <w:footerReference w:type="default" r:id="rId11"/>
      <w:headerReference w:type="default" r:id="rId12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</w:rPr>
      <w:t>CALMA AI · Modelo laboral editable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rFonts w:ascii="Arial" w:hAnsi="Arial" w:eastAsia="Arial" w:cs="Arial"/>
        <w:color w:val="000000"/>
        <w:sz w:val="16"/>
      </w:rPr>
      <w:t>CALMA AI · MODELOS LABORALES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Arial" w:hAnsi="Arial" w:eastAsia="Arial" w:cs="Aria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Arial" w:hAnsi="Arial" w:eastAsia="Arial" w:cs="Aria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Arial" w:hAnsi="Arial" w:eastAsia="Arial" w:cs="Aria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Arial" w:hAnsi="Arial" w:eastAsia="Arial" w:cs="Aria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  <w:jc w:val="left"/>
    </w:pPr>
    <w:rPr>
      <w:rFonts w:ascii="Arial" w:hAnsi="Arial"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eastAsia="Arial" w:cs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Arial" w:hAnsi="Arial" w:eastAsia="Arial" w:cs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Arial" w:hAnsi="Arial" w:eastAsia="Arial" w:cs="Arial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Arial" w:hAnsi="Arial" w:eastAsia="Arial" w:cs="Arial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Arial" w:hAnsi="Arial" w:eastAsia="Arial" w:cs="Arial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Arial" w:hAnsi="Arial" w:eastAsia="Arial" w:cs="Arial"/>
      <w:color w:val="000000"/>
      <w:spacing w:val="5"/>
      <w:kern w:val="28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hAnsi="Arial" w:eastAsia="Arial" w:cs="Arial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hAnsi="Arial" w:eastAsia="Arial" w:cs="Arial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hAnsi="Arial" w:eastAsia="Arial" w:cs="Arial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hAnsi="Arial" w:eastAsia="Arial" w:cs="Arial"/>
      <w:color w:val="000000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hAnsi="Arial" w:eastAsia="Arial" w:cs="Arial"/>
      <w:i/>
      <w:iCs/>
      <w:color w:val="000000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="Arial" w:hAnsi="Arial" w:eastAsia="Arial" w:cs="Arial"/>
        <w:b/>
        <w:bCs/>
      </w:rPr>
      <w:tblPr/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="Arial" w:hAnsi="Arial" w:eastAsia="Arial" w:cs="Arial"/>
        <w:b/>
        <w:bCs/>
      </w:rPr>
    </w:tblStylePr>
    <w:tblStylePr w:type="lastCol">
      <w:rPr>
        <w:rFonts w:ascii="Arial" w:hAnsi="Arial" w:eastAsia="Arial" w:cs="Arial"/>
        <w:b/>
        <w:bCs/>
      </w:rPr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F2F2F2"/>
      </w:tcPr>
    </w:tblStylePr>
    <w:tblStylePr w:type="band2Horz">
      <w:tblPr/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 w:themeTint="BF"/>
          <w:left w:val="single" w:sz="8" w:space="0" w:color="000000" w:themeColor="text1" w:themeTint="BF"/>
          <w:bottom w:val="single" w:sz="8" w:space="0" w:color="000000" w:themeColor="text1" w:themeTint="BF"/>
          <w:right w:val="single" w:sz="8" w:space="0" w:color="00000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 w:themeTint="BF"/>
          <w:left w:val="single" w:sz="8" w:space="0" w:color="000000" w:themeColor="accent1" w:themeTint="BF"/>
          <w:bottom w:val="single" w:sz="8" w:space="0" w:color="000000" w:themeColor="accent1" w:themeTint="BF"/>
          <w:right w:val="single" w:sz="8" w:space="0" w:color="0000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2" w:themeTint="BF"/>
          <w:left w:val="single" w:sz="8" w:space="0" w:color="000000" w:themeColor="accent2" w:themeTint="BF"/>
          <w:bottom w:val="single" w:sz="8" w:space="0" w:color="000000" w:themeColor="accent2" w:themeTint="BF"/>
          <w:right w:val="single" w:sz="8" w:space="0" w:color="00000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3" w:themeTint="BF"/>
          <w:left w:val="single" w:sz="8" w:space="0" w:color="000000" w:themeColor="accent3" w:themeTint="BF"/>
          <w:bottom w:val="single" w:sz="8" w:space="0" w:color="000000" w:themeColor="accent3" w:themeTint="BF"/>
          <w:right w:val="single" w:sz="8" w:space="0" w:color="00000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4" w:themeTint="BF"/>
          <w:left w:val="single" w:sz="8" w:space="0" w:color="000000" w:themeColor="accent4" w:themeTint="BF"/>
          <w:bottom w:val="single" w:sz="8" w:space="0" w:color="000000" w:themeColor="accent4" w:themeTint="BF"/>
          <w:right w:val="single" w:sz="8" w:space="0" w:color="00000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5" w:themeTint="BF"/>
          <w:left w:val="single" w:sz="8" w:space="0" w:color="000000" w:themeColor="accent5" w:themeTint="BF"/>
          <w:bottom w:val="single" w:sz="8" w:space="0" w:color="000000" w:themeColor="accent5" w:themeTint="BF"/>
          <w:right w:val="single" w:sz="8" w:space="0" w:color="0000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6" w:themeTint="BF"/>
          <w:left w:val="single" w:sz="8" w:space="0" w:color="000000" w:themeColor="accent6" w:themeTint="BF"/>
          <w:bottom w:val="single" w:sz="8" w:space="0" w:color="000000" w:themeColor="accent6" w:themeTint="BF"/>
          <w:right w:val="single" w:sz="8" w:space="0" w:color="00000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nil"/>
          <w:insideV w:val="nil"/>
        </w:tcBorders>
        <w:shd w:val="clear" w:color="auto" w:fill="F2F2F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000000"/>
        <w:bottom w:val="single" w:sz="1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000000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000000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000000"/>
          <w:left w:val="nil"/>
          <w:bottom w:val="single" w:sz="18" w:space="0" w:color="00000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bottom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bottom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bottom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bottom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bottom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bottom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eastAsia="Arial" w:cs="Arial"/>
      </w:rPr>
      <w:tblPr/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 w:themeTint="BF"/>
        <w:left w:val="single" w:sz="8" w:space="0" w:color="000000" w:themeColor="text1" w:themeTint="BF"/>
        <w:bottom w:val="single" w:sz="8" w:space="0" w:color="000000" w:themeColor="text1" w:themeTint="BF"/>
        <w:right w:val="single" w:sz="8" w:space="0" w:color="000000" w:themeColor="text1" w:themeTint="BF"/>
        <w:insideH w:val="single" w:sz="8" w:space="0" w:color="000000" w:themeColor="text1" w:themeTint="BF"/>
        <w:insideV w:val="single" w:sz="8" w:space="0" w:color="00000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1" w:themeTint="BF"/>
        <w:left w:val="single" w:sz="8" w:space="0" w:color="000000" w:themeColor="accent1" w:themeTint="BF"/>
        <w:bottom w:val="single" w:sz="8" w:space="0" w:color="000000" w:themeColor="accent1" w:themeTint="BF"/>
        <w:right w:val="single" w:sz="8" w:space="0" w:color="000000" w:themeColor="accent1" w:themeTint="BF"/>
        <w:insideH w:val="single" w:sz="8" w:space="0" w:color="000000" w:themeColor="accent1" w:themeTint="BF"/>
        <w:insideV w:val="single" w:sz="8" w:space="0" w:color="000000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2" w:themeTint="BF"/>
        <w:left w:val="single" w:sz="8" w:space="0" w:color="000000" w:themeColor="accent2" w:themeTint="BF"/>
        <w:bottom w:val="single" w:sz="8" w:space="0" w:color="000000" w:themeColor="accent2" w:themeTint="BF"/>
        <w:right w:val="single" w:sz="8" w:space="0" w:color="000000" w:themeColor="accent2" w:themeTint="BF"/>
        <w:insideH w:val="single" w:sz="8" w:space="0" w:color="000000" w:themeColor="accent2" w:themeTint="BF"/>
        <w:insideV w:val="single" w:sz="8" w:space="0" w:color="000000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3" w:themeTint="BF"/>
        <w:left w:val="single" w:sz="8" w:space="0" w:color="000000" w:themeColor="accent3" w:themeTint="BF"/>
        <w:bottom w:val="single" w:sz="8" w:space="0" w:color="000000" w:themeColor="accent3" w:themeTint="BF"/>
        <w:right w:val="single" w:sz="8" w:space="0" w:color="000000" w:themeColor="accent3" w:themeTint="BF"/>
        <w:insideH w:val="single" w:sz="8" w:space="0" w:color="000000" w:themeColor="accent3" w:themeTint="BF"/>
        <w:insideV w:val="single" w:sz="8" w:space="0" w:color="00000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4" w:themeTint="BF"/>
        <w:left w:val="single" w:sz="8" w:space="0" w:color="000000" w:themeColor="accent4" w:themeTint="BF"/>
        <w:bottom w:val="single" w:sz="8" w:space="0" w:color="000000" w:themeColor="accent4" w:themeTint="BF"/>
        <w:right w:val="single" w:sz="8" w:space="0" w:color="000000" w:themeColor="accent4" w:themeTint="BF"/>
        <w:insideH w:val="single" w:sz="8" w:space="0" w:color="000000" w:themeColor="accent4" w:themeTint="BF"/>
        <w:insideV w:val="single" w:sz="8" w:space="0" w:color="00000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5" w:themeTint="BF"/>
        <w:left w:val="single" w:sz="8" w:space="0" w:color="000000" w:themeColor="accent5" w:themeTint="BF"/>
        <w:bottom w:val="single" w:sz="8" w:space="0" w:color="000000" w:themeColor="accent5" w:themeTint="BF"/>
        <w:right w:val="single" w:sz="8" w:space="0" w:color="000000" w:themeColor="accent5" w:themeTint="BF"/>
        <w:insideH w:val="single" w:sz="8" w:space="0" w:color="000000" w:themeColor="accent5" w:themeTint="BF"/>
        <w:insideV w:val="single" w:sz="8" w:space="0" w:color="000000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accent6" w:themeTint="BF"/>
        <w:left w:val="single" w:sz="8" w:space="0" w:color="000000" w:themeColor="accent6" w:themeTint="BF"/>
        <w:bottom w:val="single" w:sz="8" w:space="0" w:color="000000" w:themeColor="accent6" w:themeTint="BF"/>
        <w:right w:val="single" w:sz="8" w:space="0" w:color="000000" w:themeColor="accent6" w:themeTint="BF"/>
        <w:insideH w:val="single" w:sz="8" w:space="0" w:color="000000" w:themeColor="accent6" w:themeTint="BF"/>
        <w:insideV w:val="single" w:sz="8" w:space="0" w:color="000000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Arial" w:hAnsi="Arial" w:eastAsia="Arial" w:cs="Arial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F2F2F2"/>
      </w:tcPr>
    </w:tblStylePr>
    <w:tblStylePr w:type="nwCell">
      <w:tblPr/>
      <w:tcPr>
        <w:shd w:val="clear" w:color="auto" w:fill="F2F2F2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background1"/>
        <w:left w:val="single" w:sz="8" w:space="0" w:color="000000" w:themeColor="background1"/>
        <w:bottom w:val="single" w:sz="8" w:space="0" w:color="000000" w:themeColor="background1"/>
        <w:right w:val="single" w:sz="8" w:space="0" w:color="000000" w:themeColor="background1"/>
        <w:insideH w:val="single" w:sz="6" w:space="0" w:color="000000" w:themeColor="background1"/>
        <w:insideV w:val="single" w:sz="6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24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single" w:sz="8" w:space="0" w:color="000000" w:themeColor="background1"/>
        </w:tcBorders>
        <w:shd w:val="clear" w:color="auto" w:fill="F2F2F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000000" w:themeColor="background1"/>
          <w:right w:val="single" w:sz="24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single" w:sz="8" w:space="0" w:color="000000" w:themeColor="background1"/>
          <w:left w:val="single" w:sz="8" w:space="0" w:color="000000" w:themeColor="background1"/>
          <w:bottom w:val="single" w:sz="8" w:space="0" w:color="000000" w:themeColor="background1"/>
          <w:right w:val="single" w:sz="8" w:space="0" w:color="000000" w:themeColor="background1"/>
          <w:insideH w:val="single" w:sz="8" w:space="0" w:color="000000" w:themeColor="background1"/>
          <w:insideV w:val="single" w:sz="8" w:space="0" w:color="000000" w:themeColor="background1"/>
        </w:tcBorders>
        <w:shd w:val="clear" w:color="auto" w:fill="F2F2F2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0000" w:themeColor="background1"/>
          <w:right w:val="nil"/>
          <w:insideH w:val="nil"/>
          <w:insideV w:val="nil"/>
        </w:tcBorders>
        <w:shd w:val="clear" w:color="auto" w:fill="F2F2F2"/>
      </w:tcPr>
    </w:tblStylePr>
    <w:tblStylePr w:type="lastRow">
      <w:tblPr/>
      <w:tcPr>
        <w:tcBorders>
          <w:top w:val="single" w:sz="18" w:space="0" w:color="000000" w:themeColor="background1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0000" w:themeColor="background1"/>
          <w:insideH w:val="nil"/>
          <w:insideV w:val="nil"/>
        </w:tcBorders>
        <w:shd w:val="clear" w:color="auto" w:fill="F2F2F2"/>
      </w:tcPr>
    </w:tblStylePr>
    <w:tblStylePr w:type="lastCol">
      <w:tblPr/>
      <w:tcPr>
        <w:tcBorders>
          <w:top w:val="nil"/>
          <w:left w:val="single" w:sz="18" w:space="0" w:color="000000" w:themeColor="background1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background1"/>
        <w:insideV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 w:themeColor="background1"/>
        </w:tcBorders>
        <w:shd w:val="clear" w:color="auto" w:fill="F2F2F2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F2F2F2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  <w:color w:val="000000"/>
      </w:rPr>
      <w:tblPr/>
      <w:tcPr>
        <w:tcBorders>
          <w:bottom w:val="single" w:sz="12" w:space="0" w:color="000000" w:themeColor="background1"/>
        </w:tcBorders>
        <w:shd w:val="clear" w:color="auto" w:fill="F2F2F2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2F2F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000000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/>
    </w:tcPr>
    <w:tblStylePr w:type="firstRow">
      <w:rPr>
        <w:b/>
        <w:bCs/>
      </w:rPr>
      <w:tblPr/>
      <w:tcPr>
        <w:shd w:val="clear" w:color="auto" w:fill="F2F2F2"/>
      </w:tcPr>
    </w:tblStylePr>
    <w:tblStylePr w:type="lastRow">
      <w:rPr>
        <w:b/>
        <w:bCs/>
        <w:color w:val="000000"/>
      </w:rPr>
      <w:tblPr/>
      <w:tcPr>
        <w:shd w:val="clear" w:color="auto" w:fill="F2F2F2"/>
      </w:tcPr>
    </w:tblStylePr>
    <w:tblStylePr w:type="firstCol">
      <w:rPr>
        <w:color w:val="000000"/>
      </w:rPr>
      <w:tblPr/>
      <w:tcPr>
        <w:shd w:val="clear" w:color="auto" w:fill="F2F2F2"/>
      </w:tcPr>
    </w:tblStylePr>
    <w:tblStylePr w:type="lastCol">
      <w:rPr>
        <w:color w:val="000000"/>
      </w:rPr>
      <w:tblPr/>
      <w:tcPr>
        <w:shd w:val="clear" w:color="auto" w:fill="F2F2F2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boe.es/buscar/act.php?id=BOE-A-2015-11430#a49" TargetMode="External"/><Relationship Id="rId10" Type="http://schemas.openxmlformats.org/officeDocument/2006/relationships/hyperlink" Target="https://www.boe.es/buscar/act.php?id=BOE-A-1995-24292" TargetMode="External"/><Relationship Id="rId11" Type="http://schemas.openxmlformats.org/officeDocument/2006/relationships/footer" Target="footer1.xml"/><Relationship Id="rId1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2026-09-20T00:00:00Z</dcterms:modified>
  <cp:category/>
</cp:coreProperties>
</file>