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despido improcedente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Presto o he prestado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REAL DE 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[CENTRO Y 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grupo o categoría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[GRUPO]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 Y HORARIO]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pagas extraordinarias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[RÉGIMEN Y CUANTÍA]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Convenio invocado y motivo de su aplicación: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[CONVENIO Y ÁMBITO]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Motivos de impugnación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Discrepo de la procedencia del despido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[FALTA DE ACREDITACIÓN DE LA CAUSA, DEFECTO FORMAL RELEVANTE U OTRO MOTIVO, EXPLICADO CON 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En particular: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[ARGUMENTOS VINCULADOS A LA CARTA, A LA PRUEBA Y AL TIPO DE DESPIDO]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reconozca la improcedencia del despido y se apliquen sus consecuencias legales de readmisión o indemnización por quien ostente la opción.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EJERZO LA REPRESENTACIÓN LEGAL O SINDICAL: SOLICITO QUE SE RESPETE MI DERECHO DE OPCIÓN CONFORME AL ARTÍCULO 56.4 ET]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Relaciona cada motivo de improcedencia con hechos y prueba, sin limitarte a negar la carta. Revisa fecha del cese, antigüedad, salario regulador y condición representativa. Si existen indicios de nulidad o cantidades adicionales, utiliza la variante adecuada antes de registrar.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Prepara una conciliación por despido improcedente sin reclamación adicional de cantidades.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Esta versión no incorpora reclamación adicional de salarios o finiquito. Si existen cantidades, utiliza la variante correspondiente y desglósalas.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Carta o prueba del despido y fechas exactas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Calendario del plazo y justificante de registro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Convenio aplicable y pruebas de cada hecho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LRJS arts. 26, 63 a 66, 80, 103 y 184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ET arts. 55, 56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Contenido de la papeleta art. 6 RD 2756/1979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2015-11430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despido improcedente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