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widowControl/>
        <w:spacing w:line="240" w:lineRule="auto" w:after="40"/>
        <w:jc w:val="center"/>
      </w:pPr>
      <w:r>
        <w:rPr>
          <w:rFonts w:ascii="Arial" w:hAnsi="Arial" w:eastAsia="Arial" w:cs="Arial"/>
          <w:b/>
          <w:i w:val="0"/>
          <w:color w:val="000000"/>
          <w:sz w:val="28"/>
        </w:rPr>
        <w:t>Reconocimiento de relación laboral y cantidad</w:t>
      </w:r>
    </w:p>
    <w:p>
      <w:pPr>
        <w:keepLines/>
        <w:widowControl/>
        <w:spacing w:line="240" w:lineRule="auto" w:after="40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Servicio de conciliación laboral territorialmente competente</w:t>
      </w:r>
    </w:p>
    <w:p>
      <w:pPr>
        <w:keepNext/>
        <w:keepLines/>
        <w:widowControl/>
        <w:spacing w:before="160" w:after="40" w:line="240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Identificación de las partes</w:t>
      </w:r>
    </w:p>
    <w:p>
      <w:pPr>
        <w:keepLines/>
        <w:widowControl/>
        <w:spacing w:after="40" w:line="240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D./D.ª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[NOMBRE Y APELLIDOS]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con DNI/NIE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[DOCUMENTO]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y domicilio a efectos de notificaciones en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[DOMICILIO COMPLETO]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comparece en nombre propio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[O REPRESENTACIÓN ACREDITADA]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y promueve conciliación frente 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[EMPRESA O PERSONA EMPLEADORA]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con NIF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[NIF]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y domicilio en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[DOMICILIO COMPLETO]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Lines/>
        <w:widowControl/>
        <w:spacing w:after="40" w:line="240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Otros interesados y motivo de su intervención: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[IDENTIFICACIÓN Y HECHOS O ELIMINAR SI NO PROCEDE]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Medio de contacto para comunicaciones: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[TELÉFONO Y CORREO]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Next/>
        <w:keepLines/>
        <w:widowControl/>
        <w:spacing w:before="160" w:after="40" w:line="240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Hechos que sustentan la relación laboral</w:t>
      </w:r>
    </w:p>
    <w:p>
      <w:pPr>
        <w:keepLines/>
        <w:widowControl/>
        <w:spacing w:after="40" w:line="240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Desde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[FECHA]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realizo personalmente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[TAREAS]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para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[EMPRESA]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en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[LUGAR]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percibiendo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[RETRIBUCIÓN Y FORMA DE PAGO]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La prestación se organiza mediante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[HORARIOS, INSTRUCCIONES Y SUPERVISIÓN]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Lines/>
        <w:widowControl/>
        <w:spacing w:after="40" w:line="240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Los medios de trabajo los aporta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[PERSONA O EMPRESA]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Los clientes, precios y cobros se gestionan por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[DESCRIPCIÓN]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La asunción de riesgos, posibilidad real de sustitución y organización propia son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[HECHOS]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La denominación dada a la relación ha sido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[SIN CONTRATO ESCRITO, MERCANTIL U OTRA]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, pero se solicita atender a su realidad.</w:t>
      </w:r>
    </w:p>
    <w:p>
      <w:pPr>
        <w:keepLines/>
        <w:widowControl/>
        <w:spacing w:after="40" w:line="240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La situación de alta conocida es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[DATOS DEL INFORME DE VIDA LABORAL Y PERIODOS]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sin dar por probados datos que desconozco. Aporto o identifico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[MENSAJES, TURNOS, PAGOS, FACTURAS, TESTIGOS U OTROS MEDIOS LÍCITOS]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Next/>
        <w:keepLines/>
        <w:widowControl/>
        <w:spacing w:before="160" w:after="40" w:line="240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Prestación de servicios</w:t>
      </w:r>
    </w:p>
    <w:p>
      <w:pPr>
        <w:keepLines/>
        <w:widowControl/>
        <w:spacing w:after="40" w:line="240" w:lineRule="auto"/>
        <w:jc w:val="both"/>
      </w:pPr>
      <w:r>
        <w:t xml:space="preserve">La clasificación solicitada es </w:t>
      </w:r>
      <w:r>
        <w:rPr>
          <w:b/>
          <w:color w:val="000000"/>
        </w:rPr>
        <w:t>[GRUPO]</w:t>
      </w:r>
      <w:r>
        <w:t xml:space="preserve">, con jornada </w:t>
      </w:r>
      <w:r>
        <w:rPr>
          <w:b/>
          <w:color w:val="000000"/>
        </w:rPr>
        <w:t>[JORNADA Y HORARIO]</w:t>
      </w:r>
      <w:r>
        <w:t xml:space="preserve"> y salario bruto de </w:t>
      </w:r>
      <w:r>
        <w:rPr>
          <w:b/>
          <w:color w:val="000000"/>
        </w:rPr>
        <w:t>[IMPORTE]</w:t>
      </w:r>
      <w:r>
        <w:t xml:space="preserve"> euros </w:t>
      </w:r>
      <w:r>
        <w:rPr>
          <w:b/>
          <w:color w:val="000000"/>
        </w:rPr>
        <w:t>[PERIODICIDAD]</w:t>
      </w:r>
      <w:r>
        <w:t xml:space="preserve">, con pagas extraordinarias </w:t>
      </w:r>
      <w:r>
        <w:rPr>
          <w:b/>
          <w:color w:val="000000"/>
        </w:rPr>
        <w:t>[RÉGIMEN Y CUANTÍA]</w:t>
      </w:r>
      <w:r>
        <w:t xml:space="preserve">. Convenio invocado y motivo de aplicación: </w:t>
      </w:r>
      <w:r>
        <w:rPr>
          <w:b/>
          <w:color w:val="000000"/>
        </w:rPr>
        <w:t>[CONVENIO Y ÁMBITO]</w:t>
      </w:r>
      <w:r>
        <w:t>.</w:t>
      </w:r>
    </w:p>
    <w:p>
      <w:pPr>
        <w:keepLines/>
        <w:widowControl/>
        <w:spacing w:after="40" w:line="240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Antigüedad reconocida por la empresa, si difiere: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[FECHA Y DIFERENCIA]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Condición de representante legal o sindical actual o durante el año anterior: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[INDICAR]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Circunstancias representativas o sindicales relevantes para la impugnación: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[HECHOS O NO PROCEDE]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Next/>
        <w:keepLines/>
        <w:widowControl/>
        <w:spacing w:before="160" w:after="40" w:line="240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Diferencias retributivas</w:t>
      </w:r>
    </w:p>
    <w:p>
      <w:pPr>
        <w:keepLines/>
        <w:widowControl/>
        <w:spacing w:after="40" w:line="240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Por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[CONCEPTOS Y PERIODOS]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se devengaron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[IMPORTES BRUTOS]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se abonaron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[PAGOS]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y resta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[TOTAL]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euros. Se acompaña desglose por concepto, periodo y vencimiento, con indicación del convenio o regla de cálculo y de los intereses salariales que procedan.</w:t>
      </w:r>
    </w:p>
    <w:p>
      <w:pPr>
        <w:keepNext/>
        <w:keepLines/>
        <w:widowControl/>
        <w:spacing w:before="160" w:after="40" w:line="240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Petición de conciliación</w:t>
      </w:r>
    </w:p>
    <w:p>
      <w:pPr>
        <w:keepLines/>
        <w:widowControl/>
        <w:spacing w:after="40" w:line="240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Solicito que se cite a conciliación para que la parte requerida reconozca la naturaleza laboral de los servicios desde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[FECHA]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con antigüedad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[FECHA]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funciones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[FUNCIONES]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jornada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[JORNADA]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y salario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[IMPORTE BRUTO Y PERIODICIDAD]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Lines/>
        <w:widowControl/>
        <w:spacing w:after="40" w:line="240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Se solicita también el pago de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[TOTAL]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euros por las diferencias retributivas desglosadas y los intereses legalmente procedentes.</w:t>
      </w:r>
    </w:p>
    <w:p>
      <w:pPr>
        <w:keepLines/>
        <w:widowControl/>
        <w:spacing w:after="40" w:line="240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El acuerdo no pretende vincular a la Tesorería General de la Seguridad Social ni sustituir sus procedimientos de alta y cotización. Se solicita acta del resultado del intento.</w:t>
      </w:r>
    </w:p>
    <w:p>
      <w:pPr>
        <w:keepNext/>
        <w:keepLines/>
        <w:widowControl/>
        <w:spacing w:line="240" w:lineRule="auto" w:after="40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En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[LOCALIDAD]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[FECHA]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Next/>
        <w:keepLines/>
        <w:widowControl/>
        <w:spacing w:line="240" w:lineRule="auto" w:after="40"/>
      </w:pP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[FIRMA]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br/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[NOMBRE Y APELLIDOS]</w:t>
      </w:r>
    </w:p>
    <w:p>
      <w:pPr>
        <w:keepLines/>
        <w:widowControl/>
        <w:spacing w:line="240" w:lineRule="auto" w:after="40"/>
      </w:pPr>
      <w:r>
        <w:br w:type="page"/>
      </w:r>
    </w:p>
    <w:p>
      <w:pPr>
        <w:keepNext/>
        <w:keepLines/>
        <w:widowControl/>
        <w:spacing w:line="240" w:lineRule="auto" w:after="40"/>
        <w:jc w:val="center"/>
      </w:pPr>
      <w:r>
        <w:rPr>
          <w:rFonts w:ascii="Arial" w:hAnsi="Arial" w:eastAsia="Arial" w:cs="Arial"/>
          <w:b/>
          <w:i w:val="0"/>
          <w:color w:val="000000"/>
          <w:sz w:val="28"/>
        </w:rPr>
        <w:t>GUÍA DE USO</w:t>
      </w:r>
    </w:p>
    <w:p>
      <w:pPr>
        <w:keepNext/>
        <w:widowControl/>
        <w:spacing w:after="140" w:line="259" w:lineRule="auto"/>
      </w:pPr>
      <w:r>
        <w:rPr>
          <w:rFonts w:ascii="Arial" w:hAnsi="Arial"/>
          <w:b/>
          <w:color w:val="000000"/>
          <w:sz w:val="22"/>
        </w:rPr>
        <w:t>Datos y comprobaciones de este modelo</w:t>
      </w:r>
    </w:p>
    <w:p>
      <w:pPr>
        <w:keepNext w:val="0"/>
        <w:widowControl/>
        <w:spacing w:after="140" w:line="259" w:lineRule="auto"/>
      </w:pPr>
      <w:r>
        <w:rPr>
          <w:rFonts w:ascii="Arial" w:hAnsi="Arial"/>
          <w:b w:val="0"/>
          <w:color w:val="000000"/>
          <w:sz w:val="22"/>
        </w:rPr>
        <w:t>Sustenta primero la laboralidad con hechos de dependencia y ajenidad; después explica convenio, grupo y cálculo de cantidades. Distingue facturas, pagos recibidos y salario pretendido, evitando una conversión automática sin comprobar su tratamiento.</w:t>
      </w:r>
    </w:p>
    <w:p>
      <w:pPr>
        <w:keepLines/>
        <w:widowControl/>
        <w:spacing w:line="240" w:lineRule="auto" w:after="40"/>
        <w:jc w:val="center"/>
      </w:pPr>
      <w:r>
        <w:rPr>
          <w:rFonts w:ascii="Arial" w:hAnsi="Arial" w:eastAsia="Arial" w:cs="Arial"/>
          <w:b/>
          <w:i w:val="0"/>
          <w:color w:val="000000"/>
          <w:sz w:val="18"/>
        </w:rPr>
        <w:t>Elimina esta guía antes de presentar el escrito.</w:t>
      </w:r>
    </w:p>
    <w:p>
      <w:pPr>
        <w:keepNext/>
        <w:keepLines/>
        <w:widowControl/>
        <w:spacing w:before="160" w:after="40" w:line="240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Finalidad del modelo</w:t>
      </w:r>
    </w:p>
    <w:p>
      <w:pPr>
        <w:keepLines/>
        <w:widowControl/>
        <w:spacing w:line="240" w:lineRule="auto" w:after="40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Ordena hechos y prueba de un trabajo sin formalización adecuada y concreta la petición ante la empresa.</w:t>
      </w:r>
    </w:p>
    <w:p>
      <w:pPr>
        <w:keepNext/>
        <w:keepLines/>
        <w:widowControl/>
        <w:spacing w:before="160" w:after="40" w:line="240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Límites y plazos</w:t>
      </w:r>
    </w:p>
    <w:p>
      <w:pPr>
        <w:keepLines/>
        <w:widowControl/>
        <w:spacing w:line="240" w:lineRule="auto" w:after="40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La falta de contrato escrito o de alta no demuestra por sí sola todos los requisitos de laboralidad. Explica dependencia, ajenidad, retribución y prestación personal con hechos verificables.</w:t>
      </w:r>
    </w:p>
    <w:p>
      <w:pPr>
        <w:keepLines/>
        <w:widowControl/>
        <w:spacing w:line="240" w:lineRule="auto" w:after="40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La conciliación con la empresa no regulariza automáticamente cuotas o altas ni sustituye actuaciones ante TGSS o ITSS. Tampoco una denuncia a ITSS conserva por sí sola el plazo para impugnar un despido.</w:t>
      </w:r>
    </w:p>
    <w:p>
      <w:pPr>
        <w:keepLines/>
        <w:widowControl/>
        <w:spacing w:line="240" w:lineRule="auto" w:after="40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Si se discute una relación de autónomo económicamente dependiente, la intervención de varias empresas, una administración o una cesión, requiere adaptación profesional. No acumules todas las alternativas en un escrito.</w:t>
      </w:r>
    </w:p>
    <w:p>
      <w:pPr>
        <w:keepLines/>
        <w:widowControl/>
        <w:spacing w:line="240" w:lineRule="auto" w:after="40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Si ya se ha producido un cese, no uses esta versión para sustituir la impugnación de despido: puede correr su plazo de veinte días hábiles.</w:t>
      </w:r>
    </w:p>
    <w:p>
      <w:pPr>
        <w:keepLines/>
        <w:widowControl/>
        <w:spacing w:line="240" w:lineRule="auto" w:after="40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Las cantidades salariales tienen, con carácter general, prescripción de un año desde que pudieron exigirse; calcula cada vencimiento y las interrupciones acreditadas.</w:t>
      </w:r>
    </w:p>
    <w:p>
      <w:pPr>
        <w:keepNext/>
        <w:keepLines/>
        <w:widowControl/>
        <w:spacing w:before="160" w:after="40" w:line="240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Antes de presentarlo</w:t>
      </w:r>
    </w:p>
    <w:p>
      <w:pPr>
        <w:pStyle w:val="ListBullet"/>
        <w:keepLines/>
        <w:widowControl/>
        <w:spacing w:line="240" w:lineRule="auto" w:after="40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Identificación y domicilios de todos los interesados</w:t>
      </w:r>
    </w:p>
    <w:p>
      <w:pPr>
        <w:pStyle w:val="ListBullet"/>
        <w:keepLines/>
        <w:widowControl/>
        <w:spacing w:line="240" w:lineRule="auto" w:after="40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Fecha real de inicio, salario bruto, pagas y jornada</w:t>
      </w:r>
    </w:p>
    <w:p>
      <w:pPr>
        <w:pStyle w:val="ListBullet"/>
        <w:keepLines/>
        <w:widowControl/>
        <w:spacing w:line="240" w:lineRule="auto" w:after="40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Pruebas de dependencia y ajenidad</w:t>
      </w:r>
    </w:p>
    <w:p>
      <w:pPr>
        <w:pStyle w:val="ListBullet"/>
        <w:keepLines/>
        <w:widowControl/>
        <w:spacing w:line="240" w:lineRule="auto" w:after="40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Vida laboral disponible y pagos</w:t>
      </w:r>
    </w:p>
    <w:p>
      <w:pPr>
        <w:pStyle w:val="ListBullet"/>
        <w:keepLines/>
        <w:widowControl/>
        <w:spacing w:line="240" w:lineRule="auto" w:after="40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Comprobación de si ha existido cese</w:t>
      </w:r>
    </w:p>
    <w:p>
      <w:pPr>
        <w:keepNext/>
        <w:keepLines/>
        <w:widowControl/>
        <w:spacing w:before="160" w:after="40" w:line="240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Fuentes oficiales</w:t>
      </w:r>
    </w:p>
    <w:p>
      <w:pPr>
        <w:keepLines/>
        <w:widowControl/>
        <w:spacing w:after="40" w:line="240" w:lineRule="auto"/>
      </w:pPr>
      <w:hyperlink r:id="rId12">
        <w:r>
          <w:rPr>
            <w:color w:val="000000"/>
            <w:u w:val="single"/>
          </w:rPr>
          <w:t>ET arts. 1, 8 y 59</w:t>
        </w:r>
      </w:hyperlink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· </w:t>
      </w:r>
      <w:hyperlink r:id="rId13">
        <w:r>
          <w:rPr>
            <w:color w:val="000000"/>
            <w:u w:val="single"/>
          </w:rPr>
          <w:t>LRJS arts. 26, 63, 65 y 103</w:t>
        </w:r>
      </w:hyperlink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· </w:t>
      </w:r>
      <w:hyperlink r:id="rId14">
        <w:r>
          <w:rPr>
            <w:color w:val="000000"/>
            <w:u w:val="single"/>
          </w:rPr>
          <w:t>RD 2756/1979 art. 6</w:t>
        </w:r>
      </w:hyperlink>
    </w:p>
    <w:sectPr>
      <w:headerReference w:type="default" r:id="rId9"/>
      <w:footerReference w:type="default" r:id="rId10"/>
      <w:pgSz w:w="11906" w:h="16838"/>
      <w:pgMar w:top="1134" w:right="1440" w:bottom="1134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Arial" w:hAnsi="Arial" w:eastAsia="Arial" w:cs="Arial"/>
        <w:b w:val="0"/>
        <w:i w:val="0"/>
        <w:color w:val="000000"/>
        <w:sz w:val="14"/>
      </w:rPr>
      <w:t>Calma AI · Modelo editable revisado el 20 de septiembre de 2026 · Documento orientativo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Arial" w:hAnsi="Arial" w:eastAsia="Arial" w:cs="Arial"/>
        <w:b/>
        <w:i w:val="0"/>
        <w:caps/>
        <w:color w:val="000000"/>
        <w:sz w:val="15"/>
      </w:rPr>
      <w:t>CALMA AI · MODELOS LABORALES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Arial" w:hAnsi="Arial" w:eastAsia="Arial" w:cs="Aria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Arial" w:hAnsi="Arial" w:eastAsia="Arial" w:cs="Aria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Arial" w:hAnsi="Arial" w:eastAsia="Arial" w:cs="Aria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Arial" w:hAnsi="Arial" w:eastAsia="Arial" w:cs="Aria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64" w:lineRule="auto"/>
    </w:pPr>
    <w:rPr>
      <w:rFonts w:ascii="Arial" w:hAnsi="Arial" w:eastAsia="Arial" w:cs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="Arial" w:hAnsi="Arial" w:eastAsia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Arial" w:hAnsi="Arial" w:eastAsia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Arial" w:hAnsi="Arial" w:eastAsia="Arial" w:cs="Arial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00000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60" w:line="280" w:lineRule="auto"/>
      <w:ind w:left="720" w:hanging="360"/>
      <w:contextualSpacing/>
    </w:pPr>
    <w:rPr>
      <w:rFonts w:ascii="Arial" w:hAnsi="Arial" w:eastAsia="Arial" w:cs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60" w:line="280" w:lineRule="auto"/>
      <w:ind w:left="720" w:hanging="360"/>
      <w:contextualSpacing/>
    </w:pPr>
    <w:rPr>
      <w:rFonts w:ascii="Arial" w:hAnsi="Arial" w:eastAsia="Arial" w:cs="Arial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00000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00000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2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2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2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3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3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3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4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4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4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5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  <w:insideV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  <w:insideV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  <w:insideV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  <w:insideV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  <w:insideV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  <w:insideV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  <w:insideV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2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3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4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ModelNote">
    <w:name w:val="Model Note"/>
    <w:pPr>
      <w:spacing w:before="120" w:after="120"/>
      <w:ind w:left="202" w:right="202"/>
    </w:pPr>
    <w:rPr>
      <w:rFonts w:ascii="Arial" w:hAnsi="Arial" w:eastAsia="Arial" w:cs="Arial"/>
      <w:color w:val="0000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eastAsia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eastAsia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eastAsia="Arial" w:cs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00000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00000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00000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2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2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2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3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3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3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4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4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4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5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  <w:insideV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  <w:insideV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  <w:insideV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  <w:insideV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  <w:insideV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  <w:insideV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  <w:insideV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2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3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4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15-11430#a49" TargetMode="External"/><Relationship Id="rId12" Type="http://schemas.openxmlformats.org/officeDocument/2006/relationships/hyperlink" Target="https://www.boe.es/buscar/act.php?id=BOE-A-2015-11430" TargetMode="External"/><Relationship Id="rId13" Type="http://schemas.openxmlformats.org/officeDocument/2006/relationships/hyperlink" Target="https://www.boe.es/buscar/act.php?id=BOE-A-2011-15936" TargetMode="External"/><Relationship Id="rId14" Type="http://schemas.openxmlformats.org/officeDocument/2006/relationships/hyperlink" Target="https://www.boe.es/buscar/act.php?id=BOE-A-1979-287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Reconocimiento de relación laboral y cantidad</dc:title>
  <dc:subject>Modelo laboral editable</dc:subject>
  <dc:creator/>
  <cp:keywords>modelo laboral, escrito, Calma AI</cp:keywords>
  <dc:description>generated by python-docx</dc:description>
  <cp:lastModifiedBy/>
  <cp:revision>1</cp:revision>
  <dcterms:created xsi:type="dcterms:W3CDTF">2013-12-23T23:15:00Z</dcterms:created>
  <dcterms:modified xsi:type="dcterms:W3CDTF">2026-09-20T00:00:00Z</dcterms:modified>
  <cp:category/>
</cp:coreProperties>
</file>