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Reclamación de categoría o funciones superiores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Clasificación profesional, funciones y diferencias salariales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realizo de forma habitual las siguientes funciones: </w:t>
      </w:r>
      <w:r>
        <w:rPr>
          <w:rFonts w:ascii="Aptos" w:hAnsi="Aptos"/>
          <w:b/>
          <w:i w:val="0"/>
          <w:color w:val="397CDD"/>
          <w:sz w:val="21"/>
          <w:shd w:fill="EDF4FE"/>
        </w:rPr>
        <w:t>[LISTA CONCRETA DE TAREAS, RESPONSABILIDADES Y AUTONOMÍA]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Mi contrato o nómina refleja </w:t>
      </w:r>
      <w:r>
        <w:rPr>
          <w:rFonts w:ascii="Aptos" w:hAnsi="Aptos"/>
          <w:b/>
          <w:i w:val="0"/>
          <w:color w:val="397CDD"/>
          <w:sz w:val="21"/>
          <w:shd w:fill="EDF4FE"/>
        </w:rPr>
        <w:t>[GRUPO / CATEGORÍA / PUESTO]</w:t>
      </w:r>
      <w:r>
        <w:rPr>
          <w:rFonts w:ascii="Aptos" w:hAnsi="Aptos"/>
          <w:b w:val="0"/>
          <w:i w:val="0"/>
          <w:color w:val="2B3237"/>
          <w:sz w:val="21"/>
        </w:rPr>
        <w:t xml:space="preserve">, mientras que las funciones descritas se corresponden, a mi entender, con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[CLASIFICACIÓN PRETENDIDA]</w:t>
      </w:r>
      <w:r>
        <w:rPr>
          <w:rFonts w:ascii="Aptos" w:hAnsi="Aptos"/>
          <w:b w:val="0"/>
          <w:i w:val="0"/>
          <w:color w:val="2B3237"/>
          <w:sz w:val="21"/>
        </w:rPr>
        <w:t xml:space="preserve"> conforme al sistema profesional aplicable.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la adecuación de mi clasificación y el abono de las diferencias salariales desde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, con regularización de nóminas y cotizaciones.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respuesta motivada y copia de la descripción del puesto, sistema de clasificación y tablas utilizadas. La cuantificación queda sujeta a la revisión del convenio vigente.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Reclamación de categoría o funciones superiores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Realizar alguna tarea superior aislada no determina por sí solo la categoría. Deben revisarse funciones efectivas, periodos, convenio y límites de movilidad funcional.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Describe tareas reales, frecuencia, órdenes, organigrama, personas a cargo y prueba. Aporta contrato, nóminas, convenio y descripciones de puesto.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22 y 39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de categoría o funciones superiores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