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Reclamación de horas extraordinarias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Horas extraordinarias pendientes de compensación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Reclamo las horas realizadas sobre mi jornada ordinaria en el periodo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[INICIO–FIN]</w:t>
      </w:r>
      <w:r>
        <w:rPr>
          <w:rFonts w:ascii="Aptos" w:hAnsi="Aptos"/>
          <w:b w:val="0"/>
          <w:i w:val="0"/>
          <w:color w:val="2B3237"/>
          <w:sz w:val="21"/>
        </w:rPr>
        <w:t xml:space="preserve">, cuyo detalle se acompaña: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— HORARIO — EXCESO — PRUEBA]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total provisional es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horas. Solicito su compensación mediante </w:t>
      </w:r>
      <w:r>
        <w:rPr>
          <w:rFonts w:ascii="Aptos" w:hAnsi="Aptos"/>
          <w:b/>
          <w:i w:val="0"/>
          <w:color w:val="397CDD"/>
          <w:sz w:val="21"/>
          <w:shd w:fill="EDF4FE"/>
        </w:rPr>
        <w:t>[ABONO / DESCANSO]</w:t>
      </w:r>
      <w:r>
        <w:rPr>
          <w:rFonts w:ascii="Aptos" w:hAnsi="Aptos"/>
          <w:b w:val="0"/>
          <w:i w:val="0"/>
          <w:color w:val="2B3237"/>
          <w:sz w:val="21"/>
        </w:rPr>
        <w:t>, conforme al convenio, contrato o acuerdo aplicable y respetando como mínimo el valor legal de la hora ordinaria cuando proceda su pago.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también acceso a los registros de jornada, cuadrantes y datos de conexión necesarios para contrastar el cálculo y que se conserven íntegramente.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cuantificación queda sujeta a la revisión del convenio y de la documentación. Ruego respuesta escrita y regularización en la próxima nómina o mediante acuerdo documentado.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Reclamación de horas extraordinarias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inventes un precio por hora: el convenio o pacto puede regular pago o descanso. Las cantidades salariales prescriben, con carácter general, al año.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una tabla diaria, fichajes, cuadrantes, correos, accesos y nóminas. Separa tiempo efectivo de pausas y disponibilidad no computable.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34.9, 35 y 59.1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horas extraordinarias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