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widowControl/>
        <w:spacing w:before="0" w:after="140"/>
        <w:jc w:val="center"/>
      </w:pPr>
      <w:r>
        <w:rPr>
          <w:rFonts w:ascii="Arial" w:hAnsi="Arial" w:eastAsia="Arial" w:cs="Arial"/>
          <w:b/>
          <w:i w:val="0"/>
          <w:color w:val="000000"/>
          <w:sz w:val="28"/>
        </w:rPr>
        <w:t>Reclamación previa por incapacidad permanente denegada</w:t>
      </w:r>
    </w:p>
    <w:p>
      <w:pPr>
        <w:widowControl/>
        <w:spacing w:after="180"/>
      </w:pPr>
      <w:r>
        <w:rPr>
          <w:rFonts w:ascii="Arial" w:hAnsi="Arial" w:eastAsia="Arial" w:cs="Arial"/>
          <w:b/>
          <w:i w:val="0"/>
          <w:color w:val="000000"/>
          <w:sz w:val="22"/>
        </w:rPr>
        <w:t>A LA DIRECCIÓN PROVINCIAL DEL INSTITUTO NACIONAL DE LA SEGURIDAD SOCIAL</w:t>
        <w:br/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[PROVINCIA / UNIDAD QUE DICTÓ LA RESOLUCIÓN]</w:t>
      </w:r>
    </w:p>
    <w:p>
      <w:pPr>
        <w:widowControl/>
        <w:spacing w:after="140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Reclamante: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[NOMBRE Y APELLIDOS]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· DNI/NIE: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[NÚMERO]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· NAF: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[NÚMERO DE AFILIACIÓN]</w:t>
      </w:r>
    </w:p>
    <w:p>
      <w:pPr>
        <w:spacing w:after="200"/>
        <w:widowControl/>
        <w:shd w:val="clear" w:color="auto" w:fill="F2F2F2"/>
      </w:pPr>
      <w:r>
        <w:rPr>
          <w:rFonts w:ascii="Arial" w:hAnsi="Arial" w:eastAsia="Arial" w:cs="Arial"/>
          <w:b/>
          <w:i w:val="0"/>
          <w:color w:val="000000"/>
          <w:sz w:val="22"/>
        </w:rPr>
        <w:t xml:space="preserve">Asunto: 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Reclamación previa frente a la resolución de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[FECHA]</w:t>
      </w:r>
    </w:p>
    <w:p>
      <w:pPr>
        <w:keepNext/>
        <w:widowControl/>
        <w:spacing w:after="220"/>
        <w:jc w:val="right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En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[LOCALIDAD]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a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[FECHA]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widowControl/>
        <w:spacing w:after="180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FORMULA RECLAMACIÓN PREVIA Y EXPONE:</w:t>
      </w:r>
    </w:p>
    <w:p>
      <w:pPr>
        <w:widowControl/>
        <w:spacing w:after="160" w:line="264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PRIMERO. En fecha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[FECHA DE NOTIFICACIÓN]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recibí resolución dictada en el expediente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[NÚMERO]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por la que se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[DENIEGA / RECONOCE EN GRADO DISTINTO]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la incapacidad permanente solicitada. Se acompaña copia de la resolución.</w:t>
      </w:r>
    </w:p>
    <w:p>
      <w:pPr>
        <w:widowControl/>
        <w:spacing w:after="160" w:line="264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SEGUNDO. Mi profesión habitual es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[PROFESIÓN Y TAREAS ESENCIALES]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Las limitaciones funcionales relevantes, descritas sin sustituir el criterio médico, afectan a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[BIPEDESTACIÓN / CARGAS / MOVILIDAD / CONCENTRACIÓN / RITMO / RELACIÓN / OTRAS EXIGENCIAS]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de esta manera: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[LIMITACIONES CONCRETAS]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widowControl/>
        <w:spacing w:after="160" w:line="264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TERCERO. La resolución no valora adecuadamente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[INFORMES, DIAGNÓSTICOS, TRATAMIENTOS, PRUEBAS O LIMITACIONES]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o su interacción conjunta con las tareas fundamentales de la profesión. Los documentos que lo respaldan son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[RELACIÓN ORDENADA DE INFORMES Y FECHAS]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Next w:val="0"/>
        <w:widowControl/>
        <w:spacing w:after="140" w:line="259" w:lineRule="auto"/>
      </w:pPr>
      <w:r>
        <w:rPr>
          <w:rFonts w:ascii="Arial" w:hAnsi="Arial"/>
          <w:b w:val="0"/>
          <w:color w:val="000000"/>
          <w:sz w:val="22"/>
        </w:rPr>
        <w:t>Para cada tarea esencial identifico [exigencia], [limitación concreta], [informe y fecha] y [por qué discrepo de la valoración administrativa]. La documentación nueva o no valorada es [relación y relevancia].</w:t>
      </w:r>
    </w:p>
    <w:p>
      <w:pPr>
        <w:widowControl/>
        <w:spacing w:after="160" w:line="264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Por todo ello, SOLICITO que se revoque o revise la resolución impugnada y se reconozca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[GRADO DE INCAPACIDAD SOLICITADO]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derivada de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[CONTINGENCIA COMÚN / ACCIDENTE DE TRABAJO / ENFERMEDAD PROFESIONAL / ACCIDENTE NO LABORAL]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, con los efectos económicos y administrativos que procedan. Subsidiariamente, solicito una nueva valoración completa de las limitaciones y de las tareas profesionales descritas.</w:t>
      </w:r>
    </w:p>
    <w:p>
      <w:pPr>
        <w:keepNext/>
        <w:widowControl/>
        <w:spacing w:after="140" w:line="259" w:lineRule="auto"/>
      </w:pPr>
      <w:r>
        <w:rPr>
          <w:rFonts w:ascii="Arial" w:hAnsi="Arial"/>
          <w:b/>
          <w:color w:val="000000"/>
          <w:sz w:val="22"/>
        </w:rPr>
        <w:t>Relación funcional si se discute la valoración médica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51"/>
        <w:gridCol w:w="3005"/>
        <w:gridCol w:w="3515"/>
      </w:tblGrid>
      <w:tr>
        <w:trPr>
          <w:cantSplit/>
          <w:tblHeader/>
        </w:trPr>
        <w:tc>
          <w:tcPr>
            <w:tcW w:type="dxa" w:w="2551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2F2"/>
          </w:tcPr>
          <w:p>
            <w:pPr>
              <w:keepNext/>
              <w:spacing w:after="60" w:before="60" w:line="240" w:lineRule="auto"/>
            </w:pPr>
            <w:r>
              <w:rPr>
                <w:rFonts w:ascii="Arial" w:hAnsi="Arial"/>
                <w:b/>
                <w:color w:val="000000"/>
                <w:sz w:val="19"/>
              </w:rPr>
              <w:t>Tarea esencial</w:t>
            </w:r>
          </w:p>
        </w:tc>
        <w:tc>
          <w:tcPr>
            <w:tcW w:type="dxa" w:w="3005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2F2"/>
          </w:tcPr>
          <w:p>
            <w:pPr>
              <w:keepNext/>
              <w:spacing w:after="60" w:before="60" w:line="240" w:lineRule="auto"/>
            </w:pPr>
            <w:r>
              <w:rPr>
                <w:rFonts w:ascii="Arial" w:hAnsi="Arial"/>
                <w:b/>
                <w:color w:val="000000"/>
                <w:sz w:val="19"/>
              </w:rPr>
              <w:t>Limitación y efecto</w:t>
            </w:r>
          </w:p>
        </w:tc>
        <w:tc>
          <w:tcPr>
            <w:tcW w:type="dxa" w:w="3515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2F2"/>
          </w:tcPr>
          <w:p>
            <w:pPr>
              <w:keepNext/>
              <w:spacing w:after="60" w:before="60" w:line="240" w:lineRule="auto"/>
            </w:pPr>
            <w:r>
              <w:rPr>
                <w:rFonts w:ascii="Arial" w:hAnsi="Arial"/>
                <w:b/>
                <w:color w:val="000000"/>
                <w:sz w:val="19"/>
              </w:rPr>
              <w:t>Informe y discrepancia</w:t>
            </w:r>
          </w:p>
        </w:tc>
      </w:tr>
      <w:tr>
        <w:trPr>
          <w:cantSplit/>
        </w:trPr>
        <w:tc>
          <w:tcPr>
            <w:tcW w:type="dxa" w:w="2551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60" w:before="60" w:line="240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[Tarea y exigencia]</w:t>
            </w:r>
          </w:p>
        </w:tc>
        <w:tc>
          <w:tcPr>
            <w:tcW w:type="dxa" w:w="3005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60" w:before="60" w:line="240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[Limitación concreta]</w:t>
            </w:r>
          </w:p>
        </w:tc>
        <w:tc>
          <w:tcPr>
            <w:tcW w:type="dxa" w:w="3515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60" w:before="60" w:line="240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[Informe fechado y razón de discrepancia]</w:t>
            </w:r>
          </w:p>
        </w:tc>
      </w:tr>
      <w:tr>
        <w:trPr>
          <w:cantSplit/>
        </w:trPr>
        <w:tc>
          <w:tcPr>
            <w:tcW w:type="dxa" w:w="2551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60" w:before="60" w:line="240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[Otra tarea]</w:t>
            </w:r>
          </w:p>
        </w:tc>
        <w:tc>
          <w:tcPr>
            <w:tcW w:type="dxa" w:w="3005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60" w:before="60" w:line="240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[Limitación]</w:t>
            </w:r>
          </w:p>
        </w:tc>
        <w:tc>
          <w:tcPr>
            <w:tcW w:type="dxa" w:w="3515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60" w:before="60" w:line="240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[Informe y razón]</w:t>
            </w:r>
          </w:p>
        </w:tc>
      </w:tr>
    </w:tbl>
    <w:p>
      <w:pPr>
        <w:keepNext/>
        <w:widowControl/>
        <w:spacing w:before="180" w:after="0"/>
        <w:jc w:val="center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Atentamente,</w:t>
        <w:br/>
        <w:br/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[FIRMA]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br/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[NOMBRE Y APELLIDOS]</w:t>
      </w:r>
    </w:p>
    <w:p>
      <w:pPr>
        <w:widowControl/>
      </w:pPr>
      <w:r>
        <w:br w:type="page"/>
      </w:r>
    </w:p>
    <w:p>
      <w:pPr>
        <w:keepNext/>
        <w:widowControl/>
        <w:spacing w:before="440" w:after="100"/>
        <w:jc w:val="center"/>
      </w:pPr>
      <w:r>
        <w:rPr>
          <w:rFonts w:ascii="Arial" w:hAnsi="Arial" w:eastAsia="Arial" w:cs="Arial"/>
          <w:b/>
          <w:i w:val="0"/>
          <w:caps/>
          <w:color w:val="000000"/>
          <w:sz w:val="16"/>
        </w:rPr>
        <w:t>GUÍA DE USO</w:t>
      </w:r>
    </w:p>
    <w:p>
      <w:pPr>
        <w:widowControl/>
        <w:spacing w:after="100"/>
        <w:jc w:val="center"/>
      </w:pPr>
      <w:r>
        <w:rPr>
          <w:rFonts w:ascii="Arial" w:hAnsi="Arial" w:eastAsia="Arial" w:cs="Arial"/>
          <w:b/>
          <w:i w:val="0"/>
          <w:color w:val="000000"/>
          <w:sz w:val="28"/>
        </w:rPr>
        <w:t>Reclamación previa por incapacidad permanente denegada</w:t>
      </w:r>
    </w:p>
    <w:p>
      <w:pPr>
        <w:widowControl/>
        <w:spacing w:after="340"/>
        <w:jc w:val="center"/>
      </w:pPr>
      <w:r>
        <w:t>NO ENVÍES LA GUÍA DE USO CON EL ESCRITO</w:t>
      </w:r>
    </w:p>
    <w:p>
      <w:pPr>
        <w:pStyle w:val="ModelNote"/>
        <w:shd w:val="clear" w:color="auto" w:fill="F2F2F2"/>
        <w:widowControl/>
        <w:spacing w:after="80"/>
      </w:pPr>
      <w:r>
        <w:rPr>
          <w:rFonts w:ascii="Arial" w:hAnsi="Arial" w:eastAsia="Arial" w:cs="Arial"/>
          <w:b w:val="0"/>
          <w:i w:val="0"/>
          <w:color w:val="000000"/>
          <w:sz w:val="21"/>
        </w:rPr>
        <w:t>El escrito aparece antes de esta guía. Completa los campos entre corchetes y elimina alternativas incompatibles y esta guía antes de entregar. Conserva tu copia completa y el justificante de recepción.</w:t>
      </w:r>
    </w:p>
    <w:p>
      <w:pPr>
        <w:keepNext/>
        <w:widowControl/>
        <w:spacing w:before="240" w:after="80"/>
      </w:pPr>
      <w:r>
        <w:rPr>
          <w:rFonts w:ascii="Arial" w:hAnsi="Arial" w:eastAsia="Arial" w:cs="Arial"/>
          <w:b/>
          <w:i w:val="0"/>
          <w:color w:val="000000"/>
          <w:sz w:val="25"/>
        </w:rPr>
        <w:t>Antes de enviarlo</w:t>
      </w:r>
    </w:p>
    <w:p>
      <w:pPr>
        <w:widowControl/>
        <w:spacing w:after="80" w:line="264" w:lineRule="auto"/>
        <w:jc w:val="both"/>
      </w:pPr>
      <w:r>
        <w:rPr>
          <w:sz w:val="21"/>
        </w:rPr>
        <w:t>Para una resolución de incapacidad permanente, el artículo 71 LRJS establece generalmente treinta días hábiles administrativos para la reclamación previa desde su notificación y cuarenta y cinco días hábiles administrativos para que la entidad conteste. La demanda debe formularse en treinta días hábiles judiciales desde la denegación expresa o el silencio. Comprueba los calendarios y las excepciones: este régimen no es el de impugnación de altas médicas. Aporta las limitaciones funcionales y las tareas profesionales, no solo diagnósticos. Esta reclamación no sustituye la comunicación laboral del artículo 49.1.n ET.</w:t>
      </w:r>
    </w:p>
    <w:p>
      <w:pPr>
        <w:widowControl/>
        <w:spacing w:after="80"/>
      </w:pPr>
      <w:r>
        <w:rPr>
          <w:sz w:val="21"/>
        </w:rPr>
        <w:t>Esta plantilla desarrolla especialmente la discrepancia con la valoración funcional o el grado. Si la denegación se basa en cotización, alta, contingencia o base reguladora, sustituye los fundamentos y petición por los de ese motivo y aporta vida laboral, bases y hechos relevantes. No alegues limitaciones médicas como única respuesta a una denegación por carencia. Comprueba la resolución íntegra.</w:t>
      </w:r>
    </w:p>
    <w:p>
      <w:pPr>
        <w:keepNext/>
        <w:widowControl/>
        <w:spacing w:after="80" w:line="259" w:lineRule="auto"/>
      </w:pPr>
      <w:r>
        <w:rPr>
          <w:rFonts w:ascii="Arial" w:hAnsi="Arial"/>
          <w:b/>
          <w:color w:val="000000"/>
          <w:sz w:val="22"/>
        </w:rPr>
        <w:t>Datos y comprobaciones de este modelo</w:t>
      </w:r>
    </w:p>
    <w:p>
      <w:pPr>
        <w:keepNext w:val="0"/>
        <w:widowControl/>
        <w:spacing w:after="80" w:line="259" w:lineRule="auto"/>
      </w:pPr>
      <w:r>
        <w:rPr>
          <w:rFonts w:ascii="Arial" w:hAnsi="Arial"/>
          <w:b w:val="0"/>
          <w:color w:val="000000"/>
          <w:sz w:val="21"/>
        </w:rPr>
        <w:t>Responde al motivo real de la resolución. Si discutes valoración funcional, relaciona tareas esenciales, limitaciones e informes fechados. Si discutes cotización, alta o base, ordena esos datos y adapta la petición. No copies diagnósticos sin explicar su efecto ni pidas un grado incoherente con tu argumentación.</w:t>
      </w:r>
    </w:p>
    <w:p>
      <w:pPr>
        <w:keepNext/>
        <w:widowControl/>
        <w:spacing w:before="240" w:after="80"/>
      </w:pPr>
      <w:r>
        <w:rPr>
          <w:rFonts w:ascii="Arial" w:hAnsi="Arial" w:eastAsia="Arial" w:cs="Arial"/>
          <w:b/>
          <w:i w:val="0"/>
          <w:color w:val="000000"/>
          <w:sz w:val="25"/>
        </w:rPr>
        <w:t>Preparación y entrega</w:t>
      </w:r>
    </w:p>
    <w:p>
      <w:pPr>
        <w:widowControl/>
        <w:spacing w:after="80" w:line="264" w:lineRule="auto"/>
        <w:ind w:left="490" w:hanging="490"/>
      </w:pPr>
      <w:r>
        <w:rPr>
          <w:rFonts w:ascii="Arial" w:hAnsi="Arial" w:eastAsia="Arial" w:cs="Arial"/>
          <w:b/>
          <w:i w:val="0"/>
          <w:color w:val="000000"/>
          <w:sz w:val="22"/>
        </w:rPr>
        <w:t xml:space="preserve">1.  </w:t>
      </w:r>
      <w:r>
        <w:rPr>
          <w:rFonts w:ascii="Arial" w:hAnsi="Arial" w:eastAsia="Arial" w:cs="Arial"/>
          <w:b w:val="0"/>
          <w:i w:val="0"/>
          <w:color w:val="000000"/>
          <w:sz w:val="21"/>
        </w:rPr>
        <w:t>Adjunta la resolución completa y ordena informes médicos, profesión y tareas, vida laboral y documentación funcional. No basta enumerar diagnósticos: relaciona limitaciones acreditadas con las exigencias reales del trabajo.</w:t>
      </w:r>
    </w:p>
    <w:p>
      <w:pPr>
        <w:widowControl/>
        <w:spacing w:after="80" w:line="264" w:lineRule="auto"/>
        <w:ind w:left="490" w:hanging="490"/>
      </w:pPr>
      <w:r>
        <w:rPr>
          <w:rFonts w:ascii="Arial" w:hAnsi="Arial" w:eastAsia="Arial" w:cs="Arial"/>
          <w:b/>
          <w:i w:val="0"/>
          <w:color w:val="000000"/>
          <w:sz w:val="22"/>
        </w:rPr>
        <w:t xml:space="preserve">2.  </w:t>
      </w:r>
      <w:r>
        <w:rPr>
          <w:rFonts w:ascii="Arial" w:hAnsi="Arial" w:eastAsia="Arial" w:cs="Arial"/>
          <w:b w:val="0"/>
          <w:i w:val="0"/>
          <w:color w:val="000000"/>
          <w:sz w:val="21"/>
        </w:rPr>
        <w:t>Sustituye todos los campos entre corchetes y elimina las alternativas que no correspondan.</w:t>
      </w:r>
    </w:p>
    <w:p>
      <w:pPr>
        <w:widowControl/>
        <w:spacing w:after="80" w:line="264" w:lineRule="auto"/>
        <w:ind w:left="490" w:hanging="490"/>
      </w:pPr>
      <w:r>
        <w:rPr>
          <w:rFonts w:ascii="Arial" w:hAnsi="Arial" w:eastAsia="Arial" w:cs="Arial"/>
          <w:b/>
          <w:i w:val="0"/>
          <w:color w:val="000000"/>
          <w:sz w:val="22"/>
        </w:rPr>
        <w:t xml:space="preserve">3.  </w:t>
      </w:r>
      <w:r>
        <w:rPr>
          <w:rFonts w:ascii="Arial" w:hAnsi="Arial" w:eastAsia="Arial" w:cs="Arial"/>
          <w:b w:val="0"/>
          <w:i w:val="0"/>
          <w:color w:val="000000"/>
          <w:sz w:val="21"/>
        </w:rPr>
        <w:t>Relee el escrito completo y comprueba nombres, fechas, hechos, cantidades y destinatario.</w:t>
      </w:r>
    </w:p>
    <w:p>
      <w:pPr>
        <w:widowControl/>
        <w:spacing w:after="80" w:line="264" w:lineRule="auto"/>
        <w:ind w:left="490" w:hanging="490"/>
      </w:pPr>
      <w:r>
        <w:rPr>
          <w:rFonts w:ascii="Arial" w:hAnsi="Arial" w:eastAsia="Arial" w:cs="Arial"/>
          <w:b/>
          <w:i w:val="0"/>
          <w:color w:val="000000"/>
          <w:sz w:val="22"/>
        </w:rPr>
        <w:t xml:space="preserve">4.  </w:t>
      </w:r>
      <w:r>
        <w:rPr>
          <w:rFonts w:ascii="Arial" w:hAnsi="Arial" w:eastAsia="Arial" w:cs="Arial"/>
          <w:b w:val="0"/>
          <w:i w:val="0"/>
          <w:color w:val="000000"/>
          <w:sz w:val="21"/>
        </w:rPr>
        <w:t>Entrégalo por un medio que permita acreditar fecha, contenido y recepción; conserva una copia completa.</w:t>
      </w:r>
    </w:p>
    <w:p>
      <w:pPr>
        <w:keepNext/>
        <w:widowControl/>
        <w:spacing w:before="240" w:after="80"/>
      </w:pPr>
      <w:r>
        <w:rPr>
          <w:rFonts w:ascii="Arial" w:hAnsi="Arial" w:eastAsia="Arial" w:cs="Arial"/>
          <w:b/>
          <w:i w:val="0"/>
          <w:color w:val="000000"/>
          <w:sz w:val="25"/>
        </w:rPr>
        <w:t>Fuentes oficiales de referencia</w:t>
      </w:r>
    </w:p>
    <w:p>
      <w:pPr>
        <w:widowControl/>
        <w:spacing w:after="80"/>
        <w:ind w:left="202"/>
      </w:pPr>
      <w:hyperlink r:id="rId11">
        <w:r>
          <w:rPr>
            <w:color w:val="000000"/>
            <w:u w:val="single"/>
          </w:rPr>
          <w:t>Ley reguladora de la jurisdicción social, artículos 71 a 73 (BOE)</w:t>
        </w:r>
      </w:hyperlink>
    </w:p>
    <w:p>
      <w:pPr>
        <w:widowControl/>
        <w:spacing w:after="80"/>
        <w:ind w:left="202"/>
      </w:pPr>
      <w:hyperlink r:id="rId12">
        <w:r>
          <w:rPr>
            <w:color w:val="000000"/>
            <w:u w:val="single"/>
          </w:rPr>
          <w:t>Ley General de la Seguridad Social, incapacidad permanente (BOE)</w:t>
        </w:r>
      </w:hyperlink>
    </w:p>
    <w:p>
      <w:pPr>
        <w:widowControl/>
        <w:spacing w:after="80"/>
        <w:ind w:left="202"/>
      </w:pPr>
      <w:hyperlink r:id="rId13">
        <w:r>
          <w:rPr>
            <w:color w:val="000000"/>
            <w:u w:val="single"/>
          </w:rPr>
          <w:t>Solicitud oficial de incapacidad permanente (Seguridad Social)</w:t>
        </w:r>
      </w:hyperlink>
    </w:p>
    <w:p>
      <w:pPr>
        <w:pStyle w:val="ModelNote"/>
        <w:widowControl/>
        <w:shd w:val="clear" w:color="auto" w:fill="F2F2F2"/>
        <w:spacing w:after="80"/>
      </w:pPr>
      <w:r>
        <w:rPr>
          <w:rFonts w:ascii="Arial" w:hAnsi="Arial" w:eastAsia="Arial" w:cs="Arial"/>
          <w:b w:val="0"/>
          <w:i w:val="0"/>
          <w:color w:val="000000"/>
          <w:sz w:val="21"/>
        </w:rPr>
        <w:t>Modelo general y orientativo. El convenio, el contrato, las fechas, la prueba y las circunstancias personales pueden cambiar la redacción o el efecto jurídico.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Arial" w:hAnsi="Arial" w:eastAsia="Arial" w:cs="Arial"/>
        <w:b w:val="0"/>
        <w:i w:val="0"/>
        <w:color w:val="000000"/>
        <w:sz w:val="14"/>
      </w:rPr>
      <w:t>Calma AI · Modelo editable revisado el 20 de septiembre de 2026 · Documento orientativo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Arial" w:hAnsi="Arial" w:eastAsia="Arial" w:cs="Arial"/>
        <w:b/>
        <w:i w:val="0"/>
        <w:caps/>
        <w:color w:val="000000"/>
        <w:sz w:val="15"/>
      </w:rPr>
      <w:t>CALMA AI · MODELOS LABORALES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Arial" w:hAnsi="Arial" w:eastAsia="Arial" w:cs="Aria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Arial" w:hAnsi="Arial" w:eastAsia="Arial" w:cs="Aria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Arial" w:hAnsi="Arial" w:eastAsia="Arial" w:cs="Aria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Arial" w:hAnsi="Arial" w:eastAsia="Arial" w:cs="Aria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Arial" w:hAnsi="Arial" w:eastAsia="Arial" w:cs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="Arial" w:hAnsi="Arial" w:eastAsia="Arial" w:cs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="Arial" w:hAnsi="Arial" w:eastAsia="Arial" w:cs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Arial" w:hAnsi="Arial" w:eastAsia="Arial" w:cs="Arial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Arial" w:cs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Arial" w:cs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Arial" w:cs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Arial" w:cs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Arial" w:cs="Arial"/>
      <w:color w:val="00000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Arial" w:cs="Arial"/>
      <w:i/>
      <w:iCs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Arial" w:cs="Arial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Arial" w:cs="Arial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Arial" w:cs="Arial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60" w:line="280" w:lineRule="auto"/>
      <w:ind w:left="720" w:hanging="360"/>
      <w:contextualSpacing/>
    </w:pPr>
    <w:rPr>
      <w:rFonts w:ascii="Arial" w:hAnsi="Arial" w:eastAsia="Arial" w:cs="Arial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60" w:line="280" w:lineRule="auto"/>
      <w:ind w:left="720" w:hanging="360"/>
      <w:contextualSpacing/>
    </w:pPr>
    <w:rPr>
      <w:rFonts w:ascii="Arial" w:hAnsi="Arial" w:eastAsia="Arial" w:cs="Arial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2"/>
      <w:szCs w:val="22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Arial" w:cs="Arial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Arial" w:cs="Arial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Arial" w:cs="Arial"/>
      <w:color w:val="00000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Arial" w:cs="Arial"/>
      <w:i/>
      <w:iCs/>
      <w:color w:val="00000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1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1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1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1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1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2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2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2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3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3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3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4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4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4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5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6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6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6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  <w:insideV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  <w:insideV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  <w:insideV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  <w:insideV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  <w:insideV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  <w:insideV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  <w:insideV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1"/>
          <w:insideV w:val="single" w:sz="6" w:space="0" w:color="000000" w:themeColor="accen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2"/>
          <w:insideV w:val="single" w:sz="6" w:space="0" w:color="000000" w:themeColor="accent2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3"/>
          <w:insideV w:val="single" w:sz="6" w:space="0" w:color="000000" w:themeColor="accent3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4"/>
          <w:insideV w:val="single" w:sz="6" w:space="0" w:color="000000" w:themeColor="accent4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6"/>
          <w:insideV w:val="single" w:sz="6" w:space="0" w:color="000000" w:themeColor="accent6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2"/>
        <w:bottom w:val="single" w:sz="4" w:space="0" w:color="000000" w:themeColor="accent2"/>
        <w:right w:val="single" w:sz="4" w:space="0" w:color="000000" w:themeColor="accent2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2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4"/>
        <w:left w:val="single" w:sz="4" w:space="0" w:color="000000" w:themeColor="accent3"/>
        <w:bottom w:val="single" w:sz="4" w:space="0" w:color="000000" w:themeColor="accent3"/>
        <w:right w:val="single" w:sz="4" w:space="0" w:color="000000" w:themeColor="accent3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3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3"/>
        <w:left w:val="single" w:sz="4" w:space="0" w:color="000000" w:themeColor="accent4"/>
        <w:bottom w:val="single" w:sz="4" w:space="0" w:color="000000" w:themeColor="accent4"/>
        <w:right w:val="single" w:sz="4" w:space="0" w:color="000000" w:themeColor="accent4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4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5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6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ModelNote">
    <w:name w:val="Model Note"/>
    <w:pPr>
      <w:spacing w:before="120" w:after="120"/>
      <w:ind w:left="202" w:right="202"/>
    </w:pPr>
    <w:rPr>
      <w:rFonts w:ascii="Arial" w:hAnsi="Arial" w:eastAsia="Arial" w:cs="Arial"/>
      <w:color w:val="00000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eastAsia="Arial" w:cs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eastAsia="Arial" w:cs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eastAsia="Arial" w:cs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Arial" w:cs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Arial" w:cs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Arial" w:cs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Arial" w:cs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Arial" w:cs="Arial"/>
      <w:color w:val="00000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Arial" w:cs="Arial"/>
      <w:i/>
      <w:iCs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Arial" w:cs="Arial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Arial" w:cs="Arial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Arial" w:cs="Arial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2"/>
      <w:szCs w:val="22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Arial" w:cs="Arial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Arial" w:cs="Arial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Arial" w:cs="Arial"/>
      <w:color w:val="00000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Arial" w:cs="Arial"/>
      <w:i/>
      <w:iCs/>
      <w:color w:val="00000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1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1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1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1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1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2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2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2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3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3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3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4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4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4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5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6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6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6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  <w:insideV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  <w:insideV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  <w:insideV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  <w:insideV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  <w:insideV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  <w:insideV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  <w:insideV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1"/>
          <w:insideV w:val="single" w:sz="6" w:space="0" w:color="000000" w:themeColor="accen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2"/>
          <w:insideV w:val="single" w:sz="6" w:space="0" w:color="000000" w:themeColor="accent2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3"/>
          <w:insideV w:val="single" w:sz="6" w:space="0" w:color="000000" w:themeColor="accent3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4"/>
          <w:insideV w:val="single" w:sz="6" w:space="0" w:color="000000" w:themeColor="accent4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6"/>
          <w:insideV w:val="single" w:sz="6" w:space="0" w:color="000000" w:themeColor="accent6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2"/>
        <w:bottom w:val="single" w:sz="4" w:space="0" w:color="000000" w:themeColor="accent2"/>
        <w:right w:val="single" w:sz="4" w:space="0" w:color="000000" w:themeColor="accent2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2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4"/>
        <w:left w:val="single" w:sz="4" w:space="0" w:color="000000" w:themeColor="accent3"/>
        <w:bottom w:val="single" w:sz="4" w:space="0" w:color="000000" w:themeColor="accent3"/>
        <w:right w:val="single" w:sz="4" w:space="0" w:color="000000" w:themeColor="accent3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3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3"/>
        <w:left w:val="single" w:sz="4" w:space="0" w:color="000000" w:themeColor="accent4"/>
        <w:bottom w:val="single" w:sz="4" w:space="0" w:color="000000" w:themeColor="accent4"/>
        <w:right w:val="single" w:sz="4" w:space="0" w:color="000000" w:themeColor="accent4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4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5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6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2011-15936#a71" TargetMode="External"/><Relationship Id="rId12" Type="http://schemas.openxmlformats.org/officeDocument/2006/relationships/hyperlink" Target="https://www.boe.es/buscar/act.php?id=BOE-A-2015-11724#a193" TargetMode="External"/><Relationship Id="rId13" Type="http://schemas.openxmlformats.org/officeDocument/2006/relationships/hyperlink" Target="https://www.seg-social.es/wps/portal/wss/internet/Pensionistas/Servicios/34887/40968/41025/enl51116?changeLanguage=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Reclamación previa por incapacidad permanente denegada</dc:title>
  <dc:subject>Modelo laboral editable</dc:subject>
  <dc:creator/>
  <cp:keywords>modelo laboral, escrito, Calma AI</cp:keywords>
  <dc:description>generated by python-docx</dc:description>
  <cp:lastModifiedBy/>
  <cp:revision>1</cp:revision>
  <dcterms:created xsi:type="dcterms:W3CDTF">2013-12-23T23:15:00Z</dcterms:created>
  <dcterms:modified xsi:type="dcterms:W3CDTF">2026-09-20T00:00:00Z</dcterms:modified>
  <cp:category/>
</cp:coreProperties>
</file>