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pacing w:after="90" w:line="259" w:lineRule="auto"/>
        <w:keepNext/>
      </w:pPr>
      <w:r>
        <w:rPr>
          <w:rFonts w:ascii="Arial" w:hAnsi="Arial" w:eastAsia="Arial" w:cs="Arial"/>
          <w:sz w:val="28"/>
          <w:color w:val="000000"/>
          <w:b/>
        </w:rPr>
        <w:t xml:space="preserve">Reclamación previa al SEPE por reintegro</w:t>
      </w:r>
    </w:p>
    <w:p>
      <w:pPr>
        <w:jc w:val="center"/>
        <w:spacing w:after="90" w:line="259" w:lineRule="auto"/>
      </w:pPr>
      <w:r>
        <w:rPr>
          <w:rFonts w:ascii="Arial" w:hAnsi="Arial" w:eastAsia="Arial" w:cs="Arial"/>
          <w:sz w:val="21"/>
          <w:color w:val="000000"/>
          <w:i/>
        </w:rPr>
        <w:t xml:space="preserve">Contra una resolución definitiva de cobro indebido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A LA DIRECCIÓN PROVINCIAL DEL SEPE [ÓRGANO INDICADO EN LA RESOLUCIÓN]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D./D.ª [NOMBRE Y APELLIDOS], con DNI/NIE [NÚMERO], expediente [NÚMERO], domicilio y cauce admitido de notificaciones [DATOS], actuando [EN NOMBRE PROPIO / MEDIANTE REPRESENTANTE ACREDITADO], formula RECLAMACIÓN PREVIA conforme al artículo 33.4 del RD 625/1985 y a los artículos 71 a 73 LRJS.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Hechos y motivos de discrepancia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1. Recibí el [FECHA DE NOTIFICACIÓN] la resolución de [FECHA Y REFERENCIA] que exige reintegrar [IMPORTE] euros por [PRESTACIÓN Y PERIODOS], por el motivo [MOTIVO EXACTO DEL SEPE]. Adjunto resolución y prueba de su notificación.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2. La cronología relevante es [FECHAS, SITUACIÓN LABORAL, PRESTACIÓN, INGRESOS O COMUNICACIONES QUE AFECTAN AL MOTIVO]. La resolución es incorrecta en [HECHO, PERIODO, REQUISITO O CÁLCULO], porque [EXPLICACIÓN CONCRETA], según [DOCUMENTO, FECHA Y HECHO QUE ACREDITA].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3. El importe o periodo que discuto es [DETALLE Y DESGLOSE]. La regularización que considero procedente es [RESULTADO Y CÁLCULO JUSTIFICADO]. Los pagos, devoluciones o compensaciones ya efectuados son [FECHAS, IMPORTES Y JUSTIFICANTES; O INDICA QUE NO CONSTAN]. No deben exigirse dos veces las mismas cantidades.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Petición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Solicito que se admita esta reclamación y [ELIGE: SE DEJE SIN EFECTO LA RESOLUCIÓN, POR NO EXISTIR LA DEUDA / SE RECTIFIQUE LA RESOLUCIÓN EN LOS CONCEPTOS Y PERIODOS INDICADOS, FIJANDO EL REINTEGRO EN [IMPORTE JUSTIFICADO] EUROS]. Solicito que se computen los pagos y compensaciones acreditados y, si resulta un exceso cobrado, se regularice y devuelva lo que proceda, con resolución expresa notificada por el cauce legal.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Anexos: [ENUMERA RESOLUCIÓN, NOTIFICACIÓN, HECHOS, CÁLCULO, PAGOS Y DEMÁS PRUEBA PERTINENTE].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En [LOCALIDAD], a [FECHA].</w:t>
      </w:r>
    </w:p>
    <w:p>
      <w:pPr>
        <w:jc w:val="center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[FIRMA Y NOMBRE]</w:t>
      </w:r>
    </w:p>
    <w:p>
      <w:pPr>
        <w:jc w:val="center"/>
        <w:spacing w:after="90" w:line="259" w:lineRule="auto"/>
        <w:keepNext/>
        <w:pageBreakBefore/>
      </w:pPr>
      <w:r>
        <w:rPr>
          <w:rFonts w:ascii="Arial" w:hAnsi="Arial" w:eastAsia="Arial" w:cs="Arial"/>
          <w:sz w:val="28"/>
          <w:color w:val="000000"/>
          <w:b/>
        </w:rPr>
        <w:t xml:space="preserve">Guía para preparar y presentar el escrito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Retira esta guía, completa los campos y elimina las opciones incompatibles. Descargar no registra la reclamación ni detiene plazos.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Cuándo sirve y cuándo no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Para una resolución definitiva del SEPE que exige devolver prestaciones o subsidios por desempleo. Si solo recibes el inicio o propuesta, corresponde formular alegaciones: el artículo 33.1.a concede diez días hábiles administrativos. Usa el modelo de alegaciones, no este. Una providencia de apremio de TGSS, una sanción o la reclamación judicial requieren revisar su cauce propio.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Reclamación y demanda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Presenta la reclamación previa en treinta días hábiles administrativos, desde el día siguiente a la notificación de la resolución. Comprueba el acto completo y el calendario: sábados, domingos y festivos no cuentan. El SEPE tiene cuarenta y cinco días hábiles administrativos para contestar. Si la rechaza o transcurre ese plazo sin respuesta, la demanda ante la jurisdicción social tiene treinta días hábiles judiciales desde la notificación de la denegación o el silencio.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El calendario judicial es diferente: en prestaciones ordinarias, agosto y del 24 de diciembre al 6 de enero son inhábiles judiciales, con excepciones legales. No esperes otra carta después del silencio. Conserva reclamación y registro para la demanda. El artículo 72 LRJS limita las variaciones sustanciales, salvo hechos nuevos o antes desconocidos.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La deuda y el pago se tramitan por separado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La resolución abre también el plazo de treinta días para devolver lo reclamado. Presentar esta reclamación no suspende automáticamente el cobro, las compensaciones ni la recaudación. Si no puedes pagar, estudia a tiempo el fraccionamiento o la compensación parcial, sus requisitos y efectos. La concesión del fraccionamiento, cumpliendo sus condiciones, suspende la recaudación de esa deuda; pedirlo no equivale a tenerlo concedido ni sustituye impugnarla.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Cómo justificarlo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Responde al motivo real con hechos y prueba. Separa lo recibido de lo que correspondía y descuenta lo ya devuelto sin duplicidades. Un error del SEPE no elimina por sí solo toda devolución: esa defensa exige analizar el caso. No inventes hechos ni ocultes cambios que debían comunicarse.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Presentación y comprobación final</w:t>
      </w:r>
    </w:p>
    <w:p>
      <w:pPr>
        <w:jc w:val="left"/>
        <w:spacing w:after="9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Comprueba órgano, identidad, notificaciones, expediente, fechas, firma y anexos. Presenta por registro admitido dirigido al órgano competente y guarda copia íntegra y justificante. Un correo ordinario o pedir cita no equivale por sí solo a registrarlo. Para una demanda o una deuda con compensaciones, conviene revisión profesional.</w:t>
      </w:r>
    </w:p>
    <w:p>
      <w:pPr>
        <w:jc w:val="left"/>
        <w:spacing w:after="9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Fuentes y guía práctica</w:t>
      </w:r>
    </w:p>
    <w:p>
      <w:pPr>
        <w:spacing w:after="55"/>
      </w:pPr>
      <w:hyperlink r:id="rIdSS008_1">
        <w:r>
          <w:rPr>
            <w:rFonts w:ascii="Arial" w:hAnsi="Arial"/>
            <w:sz w:val="20"/>
            <w:color w:val="000000"/>
            <w:u w:val="single"/>
          </w:rPr>
          <w:t>RD 625/1985, artículos 33 a 34 bis</w:t>
        </w:r>
      </w:hyperlink>
    </w:p>
    <w:p>
      <w:pPr>
        <w:spacing w:after="55"/>
      </w:pPr>
      <w:hyperlink r:id="rIdSS008_2">
        <w:r>
          <w:rPr>
            <w:rFonts w:ascii="Arial" w:hAnsi="Arial"/>
            <w:sz w:val="20"/>
            <w:color w:val="000000"/>
            <w:u w:val="single"/>
          </w:rPr>
          <w:t>LRJS, artículos 71 a 73</w:t>
        </w:r>
      </w:hyperlink>
    </w:p>
    <w:p>
      <w:pPr>
        <w:spacing w:after="55"/>
      </w:pPr>
      <w:hyperlink r:id="rIdSS008_3">
        <w:r>
          <w:rPr>
            <w:rFonts w:ascii="Arial" w:hAnsi="Arial"/>
            <w:sz w:val="20"/>
            <w:color w:val="000000"/>
            <w:u w:val="single"/>
          </w:rPr>
          <w:t>Ley 39/2015, registros y cómputo</w:t>
        </w:r>
      </w:hyperlink>
    </w:p>
    <w:p>
      <w:pPr>
        <w:spacing w:after="55"/>
      </w:pPr>
      <w:hyperlink r:id="rIdSS008_4">
        <w:r>
          <w:rPr>
            <w:rFonts w:ascii="Arial" w:hAnsi="Arial"/>
            <w:sz w:val="20"/>
            <w:color w:val="000000"/>
            <w:u w:val="single"/>
          </w:rPr>
          <w:t>Cómo presentar documentos al SEPE</w:t>
        </w:r>
      </w:hyperlink>
    </w:p>
    <w:p>
      <w:pPr>
        <w:spacing w:after="55"/>
      </w:pPr>
      <w:hyperlink r:id="rIdSS008_5">
        <w:r>
          <w:rPr>
            <w:rFonts w:ascii="Arial" w:hAnsi="Arial"/>
            <w:sz w:val="20"/>
            <w:color w:val="000000"/>
            <w:u w:val="single"/>
          </w:rPr>
          <w:t>Guía de Calma AI: cartas y reclamaciones del SEPE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15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#a71" TargetMode="External"/><Relationship Id="rId12" Type="http://schemas.openxmlformats.org/officeDocument/2006/relationships/hyperlink" Target="https://www.boe.es/buscar/act.php?id=BOE-A-2015-11724#a193" TargetMode="External"/><Relationship Id="rId13" Type="http://schemas.openxmlformats.org/officeDocument/2006/relationships/hyperlink" Target="https://www.seg-social.es/wps/portal/wss/internet/Pensionistas/Servicios/34887/40968/41025/enl51116?changeLanguage=es" TargetMode="External"/><Relationship Id="rIdSS008_1" Type="http://schemas.openxmlformats.org/officeDocument/2006/relationships/hyperlink" Target="https://www.boe.es/buscar/act.php?id=BOE-A-1985-8124#art33" TargetMode="External"/><Relationship Id="rIdSS008_2" Type="http://schemas.openxmlformats.org/officeDocument/2006/relationships/hyperlink" Target="https://www.boe.es/buscar/act.php?id=BOE-A-2011-15936#a71" TargetMode="External"/><Relationship Id="rIdSS008_3" Type="http://schemas.openxmlformats.org/officeDocument/2006/relationships/hyperlink" Target="https://www.boe.es/buscar/act.php?id=BOE-A-2015-10565#a30" TargetMode="External"/><Relationship Id="rIdSS008_4" Type="http://schemas.openxmlformats.org/officeDocument/2006/relationships/hyperlink" Target="https://sepe.es/HomeSepe/prestaciones-desempleo/presentar-documentos-sepe.html" TargetMode="External"/><Relationship Id="rIdSS008_5" Type="http://schemas.openxmlformats.org/officeDocument/2006/relationships/hyperlink" Target="https://calmalegal.es/carta-sepe-reclamacion-prev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previa al SEPE por resolución de reintegro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