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0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MODELO EDITABLE</w:t>
      </w:r>
    </w:p>
    <w:p>
      <w:pPr>
        <w:keepNext/>
        <w:widowControl/>
        <w:spacing w:before="0" w:after="1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Reingreso tras excedencia por cuidado</w:t>
      </w:r>
    </w:p>
    <w:p>
      <w:pPr>
        <w:widowControl/>
        <w:spacing w:after="300"/>
        <w:jc w:val="center"/>
      </w:pPr>
      <w:r>
        <w:rPr>
          <w:rFonts w:ascii="Arial" w:hAnsi="Arial" w:eastAsia="Arial" w:cs="Arial"/>
          <w:b w:val="0"/>
          <w:i/>
          <w:color w:val="000000"/>
          <w:sz w:val="18"/>
        </w:rPr>
        <w:t>Documento editable · completa únicamente los campos entre corchetes</w:t>
      </w:r>
    </w:p>
    <w:p>
      <w:pPr>
        <w:keepNext/>
        <w:spacing w:before="100" w:after="220"/>
        <w:jc w:val="center"/>
        <w:widowControl/>
        <w:shd w:val="clear" w:color="auto" w:fill="F2F2F2"/>
      </w:pPr>
      <w:r>
        <w:t>TEXTO DEL ESCRITO · PARA ADAPTAR Y ENVIAR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 LA ATENCIÓN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/ RECURSOS HUMANOS]</w:t>
      </w:r>
      <w:r>
        <w:rPr>
          <w:rFonts w:ascii="Arial" w:hAnsi="Arial" w:eastAsia="Arial" w:cs="Arial"/>
          <w:b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[DIRECCIÓN O CENTRO DE TRABAJO]</w:t>
      </w:r>
    </w:p>
    <w:p>
      <w:pPr>
        <w:widowControl/>
        <w:spacing w:after="1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Puesto: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[PUESTO]</w:t>
      </w:r>
    </w:p>
    <w:p>
      <w:pPr>
        <w:spacing w:after="200"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2"/>
        </w:rPr>
        <w:t>Asunto: Solicitud de reincorporación tras excedencia por cuidado</w:t>
      </w:r>
    </w:p>
    <w:p>
      <w:pPr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8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 la atención de la empresa: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Disfruto una excedencia por cuidado 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[HIJO / FAMILIAR]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desde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comunicada a la empresa el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Su finalización prevista es el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solicito mi reincorporación con efectos de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conforme al artículo 46.3 ET.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[SI ESTOY EN EL PRIMER AÑO ORDINARIO O DISPONGO DE RESERVA AMPLIADA: SOLICITO REINCORPORARME A MI MISMO PUESTO]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HA TERMINADO EL PLAZO DE RESERVA DEL MISMO PUESTO: SOLICITO UN PUESTO DEL MISMO GRUPO PROFESIONAL O CATEGORÍA EQUIVALENTE]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Antes de la vuelta desempeñaba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[PUESTO, FUNCIONES, CENTRO Y JORNADA]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Solicito que se confirme por escrito la fecha de retorno, puesto, tareas, centro, horario, grupo y retribución. Si se pretende asignarme funciones distintas o denegar el reingreso, solicito los motivos concretos y la decisión por escrito.</w:t>
      </w:r>
    </w:p>
    <w:p>
      <w:pPr>
        <w:widowControl/>
        <w:spacing w:after="16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Quedo a disposición para la reincorporación en la fecha indicada y solicito respuesta a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[CORREO O DOMICILIO]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Esta petición no implica aceptar una modificación de condiciones ni renunciar a las acciones que correspondan.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color w:val="000000"/>
          <w:sz w:val="22"/>
        </w:rPr>
        <w:t>La reserva de puesto que invoco se apoya en [periodo y supuesto acreditado]. Las condiciones anteriores constan en [documentos que aporto o identifico].</w:t>
      </w:r>
    </w:p>
    <w:p>
      <w:pPr>
        <w:widowControl/>
        <w:spacing w:before="180" w:after="0"/>
        <w:jc w:val="center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widowControl/>
      </w:pPr>
      <w:r>
        <w:br w:type="page"/>
      </w:r>
    </w:p>
    <w:p>
      <w:pPr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Reingreso tras excedencia por cuidado</w:t>
      </w:r>
    </w:p>
    <w:p>
      <w:pPr>
        <w:widowControl/>
        <w:spacing w:after="34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widowControl/>
      </w:pPr>
      <w:r>
        <w:t>El escrito aparece antes de esta guía. Completa los campos entre corchetes y elimina las alternativas incompatibles. Retira esta guía antes de entregar el escrito; conserva tu copia completa y el justificante de recepción.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widowControl/>
        <w:spacing w:after="14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modelo es para excedencia por cuidado del artículo 46.3 ET, no para la voluntaria ordinaria. Elige una sola opción de reserva. El mismo puesto se reserva normalmente un año; después, uno del mismo grupo o categoría equivalente. Comprueba ampliaciones legales por familia numerosa o ejercicio compartido y mejoras convencionales. El reingreso por cuidado no depende de una vacante. Una negativa o cambio de funciones exige analizar sus hechos: no toda respuesta negativa equivale a despido. Si la empresa extingue inequívocamente, revisa urgentemente los veinte días hábiles. Esta solicitud no suspende por sí sola ese plazo.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Identifica el tipo de excedencia, periodos, reserva aplicable y puesto anterior. Elige una sola opción de reincorporación según la reserva vigente. Si ofrecen funciones distintas, concreta cuáles y conserva la respuesta: no toda diferencia equivale a un despido o a una modificación sustancial.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>1.  Adjunta comunicación de excedencia, fechas, convenio y prueba de puesto, grupo, jornada y funciones anteriores; evita datos personales innecesarios del menor o familiar.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Sustituye todos los campos entre corchetes y elimina las alternativas que no correspondan.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Relee el escrito completo y comprueba nombres, fechas, hechos, cantidades y destinatario.</w:t>
      </w:r>
    </w:p>
    <w:p>
      <w:pPr>
        <w:widowControl/>
        <w:spacing w:after="14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widowControl/>
        <w:spacing w:after="80"/>
        <w:ind w:left="202"/>
      </w:pPr>
      <w:hyperlink r:id="rId13">
        <w:r>
          <w:rPr>
            <w:color w:val="000000"/>
            <w:u w:val="single"/>
          </w:rPr>
          <w:t>Estatuto de los Trabajadores, artículo 46.3 (BOE)</w:t>
        </w:r>
      </w:hyperlink>
    </w:p>
    <w:p>
      <w:pPr>
        <w:widowControl/>
        <w:spacing w:after="80"/>
        <w:ind w:left="202"/>
      </w:pPr>
      <w:hyperlink r:id="rId14">
        <w:r>
          <w:rPr>
            <w:color w:val="000000"/>
            <w:u w:val="single"/>
          </w:rPr>
          <w:t>Tribunal Supremo, STS 312/2023 (CGPJ)</w:t>
        </w:r>
      </w:hyperlink>
    </w:p>
    <w:p>
      <w:pPr>
        <w:pStyle w:val="ModelNote"/>
        <w:widowControl/>
        <w:shd w:val="clear" w:color="auto" w:fill="F2F2F2"/>
      </w:pPr>
      <w:r>
        <w:rPr>
          <w:rFonts w:ascii="Arial" w:hAnsi="Arial" w:eastAsia="Arial" w:cs="Arial"/>
          <w:b w:val="0"/>
          <w:i w:val="0"/>
          <w:color w:val="000000"/>
          <w:sz w:val="16"/>
        </w:rPr>
        <w:t>Modelo general y orientativo. El convenio, el contrato, las fechas, la prueba y las circunstancias personales pueden cambiar la redacción o el efecto jurídico.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24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1" TargetMode="External"/><Relationship Id="rId12" Type="http://schemas.openxmlformats.org/officeDocument/2006/relationships/hyperlink" Target="https://www.boe.es/buscar/act.php?id=BOE-A-2011-15936#a138" TargetMode="External"/><Relationship Id="rId13" Type="http://schemas.openxmlformats.org/officeDocument/2006/relationships/hyperlink" Target="https://www.boe.es/buscar/act.php?id=BOE-A-2015-11430#a46" TargetMode="External"/><Relationship Id="rId14" Type="http://schemas.openxmlformats.org/officeDocument/2006/relationships/hyperlink" Target="https://www.poderjudicial.es/stfls/TRIBUNAL%20SUPREMO/ACUERDOS%20y%20ESTUDIOS%20DOCTRINALES/FICHERO/20240722%20Cr%C3%B3nicaJurisprudencia%202023-2024%20Sala%2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Disconformidad con modificación sustancial</dc:title>
  <dc:subject>Modelo laboral editable</dc:subject>
  <dc:creator/>
  <cp:keywords>modelo laboral, escrito, Calma AI</cp:keywords>
  <dc:description/>
  <cp:lastModifiedBy/>
  <cp:revision>1</cp:revision>
  <dcterms:created xsi:type="dcterms:W3CDTF">2013-12-23T23:15:00Z</dcterms:created>
  <dcterms:modified xsi:type="dcterms:W3CDTF">2026-09-20T00:00:00Z</dcterms:modified>
  <cp:category/>
</cp:coreProperties>
</file>