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rFonts w:ascii="Arial" w:hAnsi="Arial" w:eastAsia="Arial" w:cs="Arial"/>
        </w:rPr>
        <w:t>Retorno a jornada u horario anterior tras cuidados</w:t>
      </w:r>
    </w:p>
    <w:p>
      <w:pPr>
        <w:widowControl/>
      </w:pPr>
      <w:r>
        <w:rPr>
          <w:rFonts w:ascii="Arial" w:hAnsi="Arial" w:eastAsia="Arial" w:cs="Arial"/>
        </w:rPr>
        <w:t xml:space="preserve">A la atención de </w:t>
      </w:r>
      <w:r>
        <w:rPr>
          <w:rFonts w:ascii="Arial" w:hAnsi="Arial" w:eastAsia="Arial" w:cs="Arial"/>
          <w:b/>
          <w:color w:val="000000"/>
        </w:rPr>
        <w:t>[DESTINATARIO Y DIRECCIÓN]</w:t>
      </w:r>
      <w:r>
        <w:rPr>
          <w:rFonts w:ascii="Arial" w:hAnsi="Arial" w:eastAsia="Arial" w:cs="Arial"/>
        </w:rPr>
        <w:br/>
        <w:t xml:space="preserve">De: </w:t>
      </w:r>
      <w:r>
        <w:rPr>
          <w:rFonts w:ascii="Arial" w:hAnsi="Arial" w:eastAsia="Arial" w:cs="Arial"/>
          <w:b/>
          <w:color w:val="000000"/>
        </w:rPr>
        <w:t>[NOMBRE, DNI/NIE, CENTRO Y PUESTO]</w:t>
      </w:r>
      <w:r>
        <w:rPr>
          <w:rFonts w:ascii="Arial" w:hAnsi="Arial" w:eastAsia="Arial" w:cs="Arial"/>
        </w:rPr>
        <w:br/>
        <w:t xml:space="preserve">En </w:t>
      </w:r>
      <w:r>
        <w:rPr>
          <w:rFonts w:ascii="Arial" w:hAnsi="Arial" w:eastAsia="Arial" w:cs="Arial"/>
          <w:b/>
          <w:color w:val="000000"/>
        </w:rPr>
        <w:t>[LOCALIDAD]</w:t>
      </w:r>
      <w:r>
        <w:rPr>
          <w:rFonts w:ascii="Arial" w:hAnsi="Arial" w:eastAsia="Arial" w:cs="Arial"/>
        </w:rPr>
        <w:t xml:space="preserve">, a </w:t>
      </w:r>
      <w:r>
        <w:rPr>
          <w:rFonts w:ascii="Arial" w:hAnsi="Arial" w:eastAsia="Arial" w:cs="Arial"/>
          <w:b/>
          <w:color w:val="000000"/>
        </w:rPr>
        <w:t>[FECHA]</w:t>
      </w:r>
      <w:r>
        <w:rPr>
          <w:rFonts w:ascii="Arial" w:hAnsi="Arial" w:eastAsia="Arial" w:cs="Arial"/>
        </w:rPr>
        <w:t>.</w:t>
      </w:r>
    </w:p>
    <w:p>
      <w:pPr>
        <w:widowControl/>
      </w:pPr>
      <w:r>
        <w:rPr>
          <w:rFonts w:ascii="Arial" w:hAnsi="Arial" w:eastAsia="Arial" w:cs="Arial"/>
        </w:rPr>
        <w:t xml:space="preserve">Desde </w:t>
      </w:r>
      <w:r>
        <w:rPr>
          <w:rFonts w:ascii="Arial" w:hAnsi="Arial" w:eastAsia="Arial" w:cs="Arial"/>
          <w:b/>
          <w:color w:val="000000"/>
        </w:rPr>
        <w:t>[FECHA]</w:t>
      </w:r>
      <w:r>
        <w:rPr>
          <w:rFonts w:ascii="Arial" w:hAnsi="Arial" w:eastAsia="Arial" w:cs="Arial"/>
        </w:rPr>
        <w:t xml:space="preserve"> disfruto </w:t>
      </w:r>
      <w:r>
        <w:rPr>
          <w:rFonts w:ascii="Arial" w:hAnsi="Arial" w:eastAsia="Arial" w:cs="Arial"/>
          <w:b/>
          <w:color w:val="000000"/>
        </w:rPr>
        <w:t>[REDUCCIÓN DE JORNADA / ADAPTACIÓN: CONSERVAR UNA]</w:t>
      </w:r>
      <w:r>
        <w:rPr>
          <w:rFonts w:ascii="Arial" w:hAnsi="Arial" w:eastAsia="Arial" w:cs="Arial"/>
        </w:rPr>
        <w:t xml:space="preserve">, conforme a </w:t>
      </w:r>
      <w:r>
        <w:rPr>
          <w:rFonts w:ascii="Arial" w:hAnsi="Arial" w:eastAsia="Arial" w:cs="Arial"/>
          <w:b/>
          <w:color w:val="000000"/>
        </w:rPr>
        <w:t>[SOLICITUD Y ACUERDO / RESOLUCIÓN]</w:t>
      </w:r>
      <w:r>
        <w:rPr>
          <w:rFonts w:ascii="Arial" w:hAnsi="Arial" w:eastAsia="Arial" w:cs="Arial"/>
        </w:rPr>
        <w:t xml:space="preserve">, por cuidado de </w:t>
      </w:r>
      <w:r>
        <w:rPr>
          <w:rFonts w:ascii="Arial" w:hAnsi="Arial" w:eastAsia="Arial" w:cs="Arial"/>
          <w:b/>
          <w:color w:val="000000"/>
        </w:rPr>
        <w:t>[VÍNCULO Y NECESIDAD SIN DATOS INNECESARIOS]</w:t>
      </w:r>
      <w:r>
        <w:rPr>
          <w:rFonts w:ascii="Arial" w:hAnsi="Arial" w:eastAsia="Arial" w:cs="Arial"/>
        </w:rPr>
        <w:t>.</w:t>
      </w:r>
    </w:p>
    <w:p>
      <w:pPr>
        <w:widowControl/>
      </w:pPr>
      <w:r>
        <w:rPr>
          <w:rFonts w:ascii="Arial" w:hAnsi="Arial" w:eastAsia="Arial" w:cs="Arial"/>
        </w:rPr>
      </w:r>
      <w:r>
        <w:rPr>
          <w:rFonts w:ascii="Arial" w:hAnsi="Arial" w:eastAsia="Arial" w:cs="Arial"/>
          <w:b/>
          <w:color w:val="000000"/>
        </w:rPr>
        <w:t>[OPCIÓN A, REDUCCIÓN: COMUNICO SU FINALIZACIÓN EL [FECHA]</w:t>
      </w:r>
      <w:r>
        <w:rPr>
          <w:rFonts w:ascii="Arial" w:hAnsi="Arial" w:eastAsia="Arial" w:cs="Arial"/>
        </w:rPr>
        <w:t xml:space="preserve"> Y LA REINCORPORACIÓN A MI JORNADA ORDINARIA </w:t>
      </w:r>
      <w:r>
        <w:rPr>
          <w:rFonts w:ascii="Arial" w:hAnsi="Arial" w:eastAsia="Arial" w:cs="Arial"/>
          <w:b/>
          <w:color w:val="000000"/>
        </w:rPr>
        <w:t>[HORAS Y HORARIO]</w:t>
      </w:r>
      <w:r>
        <w:rPr>
          <w:rFonts w:ascii="Arial" w:hAnsi="Arial" w:eastAsia="Arial" w:cs="Arial"/>
        </w:rPr>
        <w:t>, RESPETANDO EL PREAVISO APLICABLE].</w:t>
      </w:r>
    </w:p>
    <w:p>
      <w:pPr>
        <w:widowControl/>
      </w:pPr>
      <w:r>
        <w:rPr>
          <w:rFonts w:ascii="Arial" w:hAnsi="Arial" w:eastAsia="Arial" w:cs="Arial"/>
        </w:rPr>
      </w:r>
      <w:r>
        <w:rPr>
          <w:rFonts w:ascii="Arial" w:hAnsi="Arial" w:eastAsia="Arial" w:cs="Arial"/>
          <w:b/>
          <w:color w:val="000000"/>
        </w:rPr>
        <w:t>[OPCIÓN B, ADAPTACIÓN: SOLICITO RETORNAR A [JORNADA / MODALIDAD ANTERIOR]</w:t>
      </w:r>
      <w:r>
        <w:rPr>
          <w:rFonts w:ascii="Arial" w:hAnsi="Arial" w:eastAsia="Arial" w:cs="Arial"/>
        </w:rPr>
        <w:t xml:space="preserve"> EL </w:t>
      </w:r>
      <w:r>
        <w:rPr>
          <w:rFonts w:ascii="Arial" w:hAnsi="Arial" w:eastAsia="Arial" w:cs="Arial"/>
          <w:b/>
          <w:color w:val="000000"/>
        </w:rPr>
        <w:t>[FECHA]</w:t>
      </w:r>
      <w:r>
        <w:rPr>
          <w:rFonts w:ascii="Arial" w:hAnsi="Arial" w:eastAsia="Arial" w:cs="Arial"/>
        </w:rPr>
        <w:t xml:space="preserve">, POR </w:t>
      </w:r>
      <w:r>
        <w:rPr>
          <w:rFonts w:ascii="Arial" w:hAnsi="Arial" w:eastAsia="Arial" w:cs="Arial"/>
          <w:b/>
          <w:color w:val="000000"/>
        </w:rPr>
        <w:t>[FIN DEL PERIODO / DESAPARICIÓN DE LA CAUSA / CAMBIO DE CIRCUNSTANCIAS: EXPLICAR Y ACREDITAR]</w:t>
      </w:r>
      <w:r>
        <w:rPr>
          <w:rFonts w:ascii="Arial" w:hAnsi="Arial" w:eastAsia="Arial" w:cs="Arial"/>
        </w:rPr>
        <w:t>].</w:t>
      </w:r>
    </w:p>
    <w:p>
      <w:pPr>
        <w:widowControl/>
      </w:pPr>
      <w:r>
        <w:rPr>
          <w:rFonts w:ascii="Arial" w:hAnsi="Arial" w:eastAsia="Arial" w:cs="Arial"/>
        </w:rPr>
        <w:t xml:space="preserve">Solicito confirmación escrita, actualización del cuadrante y regularización salarial que corresponda desde el retorno. Si se formula oposición, solicito motivos concretos por escrito. Aporto </w:t>
      </w:r>
      <w:r>
        <w:rPr>
          <w:rFonts w:ascii="Arial" w:hAnsi="Arial" w:eastAsia="Arial" w:cs="Arial"/>
          <w:b/>
          <w:color w:val="000000"/>
        </w:rPr>
        <w:t>[DOCUMENTACIÓN PERTINENTE]</w:t>
      </w:r>
      <w:r>
        <w:rPr>
          <w:rFonts w:ascii="Arial" w:hAnsi="Arial" w:eastAsia="Arial" w:cs="Arial"/>
        </w:rPr>
        <w:t>.</w:t>
      </w:r>
    </w:p>
    <w:p>
      <w:pPr>
        <w:keepLines/>
        <w:widowControl/>
      </w:pPr>
      <w:r>
        <w:rPr>
          <w:rFonts w:ascii="Arial" w:hAnsi="Arial" w:eastAsia="Arial" w:cs="Arial"/>
        </w:rPr>
        <w:t>Atentamente,</w:t>
        <w:br/>
      </w:r>
      <w:r>
        <w:rPr>
          <w:rFonts w:ascii="Arial" w:hAnsi="Arial" w:eastAsia="Arial" w:cs="Arial"/>
          <w:b/>
          <w:color w:val="000000"/>
        </w:rPr>
        <w:t>[FIRMA]</w:t>
      </w:r>
      <w:r>
        <w:rPr>
          <w:rFonts w:ascii="Arial" w:hAnsi="Arial" w:eastAsia="Arial" w:cs="Arial"/>
        </w:rPr>
        <w:br/>
      </w:r>
      <w:r>
        <w:rPr>
          <w:rFonts w:ascii="Arial" w:hAnsi="Arial" w:eastAsia="Arial" w:cs="Arial"/>
          <w:b/>
          <w:color w:val="000000"/>
        </w:rPr>
        <w:t>[NOMBRE Y APELLIDOS]</w:t>
      </w:r>
      <w:r>
        <w:rPr>
          <w:rFonts w:ascii="Arial" w:hAnsi="Arial" w:eastAsia="Arial" w:cs="Arial"/>
        </w:rPr>
      </w:r>
    </w:p>
    <w:p>
      <w:pPr>
        <w:widowControl/>
      </w:pPr>
      <w:r>
        <w:rPr>
          <w:rFonts w:ascii="Arial" w:hAnsi="Arial" w:eastAsia="Arial" w:cs="Arial"/>
        </w:rPr>
        <w:br w:type="page"/>
      </w:r>
    </w:p>
    <w:p>
      <w:pPr>
        <w:pStyle w:val="Heading1"/>
        <w:widowControl/>
      </w:pPr>
      <w:r>
        <w:rPr>
          <w:rFonts w:ascii="Arial" w:hAnsi="Arial" w:eastAsia="Arial" w:cs="Arial"/>
        </w:rPr>
        <w:t>GUÍA DE USO</w:t>
      </w:r>
    </w:p>
    <w:p>
      <w:pPr>
        <w:widowControl/>
      </w:pPr>
      <w:r>
        <w:rPr>
          <w:rFonts w:ascii="Arial" w:hAnsi="Arial" w:eastAsia="Arial" w:cs="Arial"/>
        </w:rPr>
        <w:t>No entregues esta página con el escrito. Completa los campos entre corchetes y conserva únicamente las opciones aplicables.</w:t>
      </w:r>
    </w:p>
    <w:p>
      <w:pPr>
        <w:widowControl/>
      </w:pPr>
      <w:r>
        <w:rPr>
          <w:rFonts w:ascii="Arial" w:hAnsi="Arial" w:eastAsia="Arial" w:cs="Arial"/>
        </w:rPr>
        <w:t>Elige reducción o adaptación; no uses ambas como si sus requisitos fueran idénticos. Para reducción, quince días de preaviso o el plazo convencional, salvo fuerza mayor. En adaptación, distingue fin del periodo/desaparición de causa de otro cambio de circunstancias, para el que la negativa debe motivarse objetivamente. No sirve para reingreso tras excedencia. Ante discrepancia de conciliación, controla veinte días hábiles de la comunicación y la vía del artículo 139 LRJS, sin conciliación previa.</w:t>
      </w:r>
    </w:p>
    <w:p>
      <w:pPr>
        <w:keepNext/>
        <w:widowControl/>
        <w:spacing w:after="140" w:line="259" w:lineRule="auto"/>
      </w:pPr>
      <w:r>
        <w:rPr>
          <w:rFonts w:ascii="Arial" w:hAnsi="Arial"/>
          <w:b/>
          <w:color w:val="000000"/>
          <w:sz w:val="22"/>
        </w:rPr>
        <w:t>Datos y comprobaciones de este modelo</w:t>
      </w:r>
    </w:p>
    <w:p>
      <w:pPr>
        <w:keepNext w:val="0"/>
        <w:widowControl/>
        <w:spacing w:after="140" w:line="259" w:lineRule="auto"/>
      </w:pPr>
      <w:r>
        <w:rPr>
          <w:rFonts w:ascii="Arial" w:hAnsi="Arial"/>
          <w:b w:val="0"/>
          <w:color w:val="000000"/>
          <w:sz w:val="22"/>
        </w:rPr>
        <w:t>Identifica si termina reducción, adaptación u otra medida y la regla de retorno aplicable. Adjunta el acuerdo original y describe el horario anterior y el solicitado. Si las causas cambian antes de la fecha prevista, explica el cambio en vez de dar por equivalente cualquier retorno anticipado.</w:t>
      </w:r>
    </w:p>
    <w:p>
      <w:pPr>
        <w:pStyle w:val="Heading2"/>
        <w:widowControl/>
      </w:pPr>
      <w:r>
        <w:rPr>
          <w:rFonts w:ascii="Arial" w:hAnsi="Arial" w:eastAsia="Arial" w:cs="Arial"/>
        </w:rPr>
        <w:t>Preparación y entrega</w:t>
      </w:r>
    </w:p>
    <w:p>
      <w:pPr>
        <w:widowControl/>
      </w:pPr>
      <w:r>
        <w:rPr>
          <w:rFonts w:ascii="Arial" w:hAnsi="Arial" w:eastAsia="Arial" w:cs="Arial"/>
        </w:rPr>
        <w:t>Contrasta hechos y fechas, adjunta solo prueba pertinente y conserva un justificante de contenido, fecha y recepción. No envíes campos vacíos ni datos médicos o personales innecesarios. El modelo no presenta ningún trámite ni garantiza su resultado.</w:t>
      </w:r>
    </w:p>
    <w:p>
      <w:pPr>
        <w:pStyle w:val="Heading2"/>
        <w:widowControl/>
      </w:pPr>
      <w:r>
        <w:rPr>
          <w:rFonts w:ascii="Arial" w:hAnsi="Arial" w:eastAsia="Arial" w:cs="Arial"/>
        </w:rPr>
        <w:t>Fuentes oficiales</w:t>
      </w:r>
    </w:p>
    <w:p>
      <w:pPr>
        <w:widowControl/>
      </w:pPr>
      <w:hyperlink r:id="rId9">
        <w:r>
          <w:rPr>
            <w:color w:val="000000"/>
            <w:u w:val="single"/>
          </w:rPr>
          <w:t>Artículos 34.8, 37.6 y 37.7 ET; artículo 139 LRJS</w:t>
        </w:r>
      </w:hyperlink>
    </w:p>
    <w:p>
      <w:pPr>
        <w:widowControl/>
      </w:pPr>
      <w:hyperlink r:id="rId10">
        <w:r>
          <w:rPr>
            <w:color w:val="000000"/>
            <w:u w:val="single"/>
          </w:rPr>
          <w:t>LRJS 139</w:t>
        </w:r>
      </w:hyperlink>
    </w:p>
    <w:p>
      <w:pPr>
        <w:widowControl/>
      </w:pPr>
      <w:r>
        <w:rPr>
          <w:rFonts w:ascii="Arial" w:hAnsi="Arial" w:eastAsia="Arial" w:cs="Arial"/>
        </w:rPr>
        <w:t>Revisión: 20 de septiembre de 2026 · Calma AI.</w:t>
      </w:r>
    </w:p>
    <w:sectPr w:rsidR="00FC693F" w:rsidRPr="0006063C" w:rsidSect="00034616">
      <w:headerReference w:type="default" r:id="rId11"/>
      <w:footerReference w:type="default" r:id="rId12"/>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000000"/>
        <w:sz w:val="16"/>
      </w:rPr>
      <w:t>Calma AI · Revisado el 20 de septiembre de 2026 · Documento orientativo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eastAsia="Arial" w:cs="Arial"/>
        <w:color w:val="000000"/>
        <w:sz w:val="16"/>
      </w:rPr>
      <w:t>CALMA AI · MODELOS LABORALES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eastAsia="Arial" w:cs="Aria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left"/>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r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jc w:val="center"/>
    </w:pPr>
    <w:rPr>
      <w:rFonts w:ascii="Arial" w:hAnsi="Arial" w:eastAsia="Arial" w:cs="Arial"/>
      <w:b/>
      <w:color w:val="000000"/>
      <w:spacing w:val="5"/>
      <w:kern w:val="28"/>
      <w:sz w:val="28"/>
      <w:szCs w:val="28"/>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28"/>
      <w:szCs w:val="28"/>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rPr>
  </w:style>
  <w:style w:type="paragraph" w:styleId="BodyText">
    <w:name w:val="Body Text"/>
    <w:basedOn w:val="Normal"/>
    <w:link w:val="BodyTextChar"/>
    <w:uiPriority w:val="99"/>
    <w:unhideWhenUsed/>
    <w:rsid w:val="00AA1D8D"/>
    <w:pPr>
      <w:spacing w:after="120"/>
    </w:pPr>
    <w:rPr>
      <w:rFonts w:ascii="Arial" w:hAnsi="Arial" w:eastAsia="Arial" w:cs="Arial"/>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eastAsia="Arial" w:cs="Arial"/>
    </w:rPr>
  </w:style>
  <w:style w:type="paragraph" w:styleId="List2">
    <w:name w:val="List 2"/>
    <w:basedOn w:val="Normal"/>
    <w:uiPriority w:val="99"/>
    <w:unhideWhenUsed/>
    <w:rsid w:val="00326F90"/>
    <w:pPr>
      <w:ind w:left="720" w:hanging="360"/>
      <w:contextualSpacing/>
    </w:pPr>
    <w:rPr>
      <w:rFonts w:ascii="Arial" w:hAnsi="Arial" w:eastAsia="Arial" w:cs="Arial"/>
    </w:rPr>
  </w:style>
  <w:style w:type="paragraph" w:styleId="List3">
    <w:name w:val="List 3"/>
    <w:basedOn w:val="Normal"/>
    <w:uiPriority w:val="99"/>
    <w:unhideWhenUsed/>
    <w:rsid w:val="00326F90"/>
    <w:pPr>
      <w:ind w:left="1080" w:hanging="360"/>
      <w:contextualSpacing/>
    </w:pPr>
    <w:rPr>
      <w:rFonts w:ascii="Arial" w:hAnsi="Arial" w:eastAsia="Arial" w:cs="Arial"/>
    </w:rPr>
  </w:style>
  <w:style w:type="paragraph" w:styleId="ListBullet">
    <w:name w:val="List Bullet"/>
    <w:basedOn w:val="Normal"/>
    <w:uiPriority w:val="99"/>
    <w:unhideWhenUsed/>
    <w:rsid w:val="00326F90"/>
    <w:pPr>
      <w:numPr>
        <w:numId w:val="1"/>
      </w:numPr>
      <w:contextualSpacing/>
    </w:pPr>
    <w:rPr>
      <w:rFonts w:ascii="Arial" w:hAnsi="Arial" w:eastAsia="Arial" w:cs="Arial"/>
    </w:rPr>
  </w:style>
  <w:style w:type="paragraph" w:styleId="ListBullet2">
    <w:name w:val="List Bullet 2"/>
    <w:basedOn w:val="Normal"/>
    <w:uiPriority w:val="99"/>
    <w:unhideWhenUsed/>
    <w:rsid w:val="00326F90"/>
    <w:pPr>
      <w:numPr>
        <w:numId w:val="2"/>
      </w:numPr>
      <w:contextualSpacing/>
    </w:pPr>
    <w:rPr>
      <w:rFonts w:ascii="Arial" w:hAnsi="Arial" w:eastAsia="Arial" w:cs="Arial"/>
    </w:rPr>
  </w:style>
  <w:style w:type="paragraph" w:styleId="ListBullet3">
    <w:name w:val="List Bullet 3"/>
    <w:basedOn w:val="Normal"/>
    <w:uiPriority w:val="99"/>
    <w:unhideWhenUsed/>
    <w:rsid w:val="00326F90"/>
    <w:pPr>
      <w:numPr>
        <w:numId w:val="3"/>
      </w:numPr>
      <w:contextualSpacing/>
    </w:pPr>
    <w:rPr>
      <w:rFonts w:ascii="Arial" w:hAnsi="Arial" w:eastAsia="Arial" w:cs="Arial"/>
    </w:rPr>
  </w:style>
  <w:style w:type="paragraph" w:styleId="ListNumber">
    <w:name w:val="List Number"/>
    <w:basedOn w:val="Normal"/>
    <w:uiPriority w:val="99"/>
    <w:unhideWhenUsed/>
    <w:rsid w:val="00326F90"/>
    <w:pPr>
      <w:numPr>
        <w:numId w:val="5"/>
      </w:numPr>
      <w:contextualSpacing/>
    </w:pPr>
    <w:rPr>
      <w:rFonts w:ascii="Arial" w:hAnsi="Arial" w:eastAsia="Arial" w:cs="Arial"/>
    </w:rPr>
  </w:style>
  <w:style w:type="paragraph" w:styleId="ListNumber2">
    <w:name w:val="List Number 2"/>
    <w:basedOn w:val="Normal"/>
    <w:uiPriority w:val="99"/>
    <w:unhideWhenUsed/>
    <w:rsid w:val="0029639D"/>
    <w:pPr>
      <w:numPr>
        <w:numId w:val="6"/>
      </w:numPr>
      <w:contextualSpacing/>
    </w:pPr>
    <w:rPr>
      <w:rFonts w:ascii="Arial" w:hAnsi="Arial" w:eastAsia="Arial" w:cs="Arial"/>
    </w:rPr>
  </w:style>
  <w:style w:type="paragraph" w:styleId="ListNumber3">
    <w:name w:val="List Number 3"/>
    <w:basedOn w:val="Normal"/>
    <w:uiPriority w:val="99"/>
    <w:unhideWhenUsed/>
    <w:rsid w:val="0029639D"/>
    <w:pPr>
      <w:numPr>
        <w:numId w:val="7"/>
      </w:numPr>
      <w:contextualSpacing/>
    </w:pPr>
    <w:rPr>
      <w:rFonts w:ascii="Arial" w:hAnsi="Arial" w:eastAsia="Arial" w:cs="Arial"/>
    </w:rPr>
  </w:style>
  <w:style w:type="paragraph" w:styleId="ListContinue">
    <w:name w:val="List Continue"/>
    <w:basedOn w:val="Normal"/>
    <w:uiPriority w:val="99"/>
    <w:unhideWhenUsed/>
    <w:rsid w:val="0029639D"/>
    <w:pPr>
      <w:spacing w:after="120"/>
      <w:ind w:left="360"/>
      <w:contextualSpacing/>
    </w:pPr>
    <w:rPr>
      <w:rFonts w:ascii="Arial" w:hAnsi="Arial" w:eastAsia="Arial" w:cs="Arial"/>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rFonts w:ascii="Arial" w:hAnsi="Arial" w:eastAsia="Arial" w:cs="Arial"/>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2"/>
      <w:szCs w:val="22"/>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2"/>
      <w:szCs w:val="22"/>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r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Arial" w:hAnsi="Arial" w:eastAsia="Arial" w:cs="Arial"/>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F2F2F2"/>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F2F2F2"/>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Arial" w:hAnsi="Arial" w:eastAsia="Arial" w:cs="Arial"/>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F2F2F2"/>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F2F2F2"/>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Arial" w:hAnsi="Arial" w:eastAsia="Arial" w:cs="Arial"/>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F2F2F2"/>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F2F2F2"/>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Arial" w:hAnsi="Arial" w:eastAsia="Arial" w:cs="Arial"/>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F2F2F2"/>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F2F2F2"/>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Arial" w:hAnsi="Arial" w:eastAsia="Arial" w:cs="Arial"/>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F2F2F2"/>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F2F2F2"/>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Arial" w:hAnsi="Arial" w:eastAsia="Arial" w:cs="Arial"/>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F2F2F2"/>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F2F2F2"/>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F2F2F2"/>
      </w:tcPr>
    </w:tblStylePr>
    <w:tblStylePr w:type="band1Horz">
      <w:tblPr/>
      <w:tcPr>
        <w:shd w:val="clear" w:color="auto" w:fill="F2F2F2"/>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1"/>
        </w:tcBorders>
      </w:tcPr>
    </w:tblStylePr>
    <w:tblStylePr w:type="lastRow">
      <w:rPr>
        <w:b/>
        <w:bCs/>
        <w:color w:val="000000"/>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F2F2F2"/>
      </w:tcPr>
    </w:tblStylePr>
    <w:tblStylePr w:type="band1Horz">
      <w:tblPr/>
      <w:tcPr>
        <w:shd w:val="clear" w:color="auto" w:fill="F2F2F2"/>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2"/>
        </w:tcBorders>
      </w:tcPr>
    </w:tblStylePr>
    <w:tblStylePr w:type="lastRow">
      <w:rPr>
        <w:b/>
        <w:bCs/>
        <w:color w:val="000000"/>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F2F2F2"/>
      </w:tcPr>
    </w:tblStylePr>
    <w:tblStylePr w:type="band1Horz">
      <w:tblPr/>
      <w:tcPr>
        <w:shd w:val="clear" w:color="auto" w:fill="F2F2F2"/>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3"/>
        </w:tcBorders>
      </w:tcPr>
    </w:tblStylePr>
    <w:tblStylePr w:type="lastRow">
      <w:rPr>
        <w:b/>
        <w:bCs/>
        <w:color w:val="000000"/>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F2F2F2"/>
      </w:tcPr>
    </w:tblStylePr>
    <w:tblStylePr w:type="band1Horz">
      <w:tblPr/>
      <w:tcPr>
        <w:shd w:val="clear" w:color="auto" w:fill="F2F2F2"/>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4"/>
        </w:tcBorders>
      </w:tcPr>
    </w:tblStylePr>
    <w:tblStylePr w:type="lastRow">
      <w:rPr>
        <w:b/>
        <w:bCs/>
        <w:color w:val="000000"/>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F2F2F2"/>
      </w:tcPr>
    </w:tblStylePr>
    <w:tblStylePr w:type="band1Horz">
      <w:tblPr/>
      <w:tcPr>
        <w:shd w:val="clear" w:color="auto" w:fill="F2F2F2"/>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5"/>
        </w:tcBorders>
      </w:tcPr>
    </w:tblStylePr>
    <w:tblStylePr w:type="lastRow">
      <w:rPr>
        <w:b/>
        <w:bCs/>
        <w:color w:val="000000"/>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F2F2F2"/>
      </w:tcPr>
    </w:tblStylePr>
    <w:tblStylePr w:type="band1Horz">
      <w:tblPr/>
      <w:tcPr>
        <w:shd w:val="clear" w:color="auto" w:fill="F2F2F2"/>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6"/>
        </w:tcBorders>
      </w:tcPr>
    </w:tblStylePr>
    <w:tblStylePr w:type="lastRow">
      <w:rPr>
        <w:b/>
        <w:bCs/>
        <w:color w:val="000000"/>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F2F2F2"/>
      </w:tcPr>
    </w:tblStylePr>
    <w:tblStylePr w:type="band1Horz">
      <w:tblPr/>
      <w:tcPr>
        <w:shd w:val="clear" w:color="auto" w:fill="F2F2F2"/>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2F2F2"/>
      </w:tcPr>
    </w:tblStylePr>
    <w:tblStylePr w:type="lastRow">
      <w:tblPr/>
      <w:tcPr>
        <w:tcBorders>
          <w:top w:val="single" w:sz="8" w:space="0" w:color="000000" w:themeColor="tex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text1"/>
          <w:insideH w:val="nil"/>
          <w:insideV w:val="nil"/>
        </w:tcBorders>
        <w:shd w:val="clear" w:color="auto" w:fill="F2F2F2"/>
      </w:tcPr>
    </w:tblStylePr>
    <w:tblStylePr w:type="lastCol">
      <w:tblPr/>
      <w:tcPr>
        <w:tcBorders>
          <w:top w:val="nil"/>
          <w:left w:val="single" w:sz="8" w:space="0" w:color="000000" w:themeColor="tex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1"/>
          <w:right w:val="nil"/>
          <w:insideH w:val="nil"/>
          <w:insideV w:val="nil"/>
        </w:tcBorders>
        <w:shd w:val="clear" w:color="auto" w:fill="F2F2F2"/>
      </w:tcPr>
    </w:tblStylePr>
    <w:tblStylePr w:type="lastRow">
      <w:tblPr/>
      <w:tcPr>
        <w:tcBorders>
          <w:top w:val="single" w:sz="8" w:space="0" w:color="000000" w:themeColor="accen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1"/>
          <w:insideH w:val="nil"/>
          <w:insideV w:val="nil"/>
        </w:tcBorders>
        <w:shd w:val="clear" w:color="auto" w:fill="F2F2F2"/>
      </w:tcPr>
    </w:tblStylePr>
    <w:tblStylePr w:type="lastCol">
      <w:tblPr/>
      <w:tcPr>
        <w:tcBorders>
          <w:top w:val="nil"/>
          <w:left w:val="single" w:sz="8" w:space="0" w:color="000000" w:themeColor="accen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2"/>
          <w:right w:val="nil"/>
          <w:insideH w:val="nil"/>
          <w:insideV w:val="nil"/>
        </w:tcBorders>
        <w:shd w:val="clear" w:color="auto" w:fill="F2F2F2"/>
      </w:tcPr>
    </w:tblStylePr>
    <w:tblStylePr w:type="lastRow">
      <w:tblPr/>
      <w:tcPr>
        <w:tcBorders>
          <w:top w:val="single" w:sz="8" w:space="0" w:color="000000" w:themeColor="accent2"/>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2"/>
          <w:insideH w:val="nil"/>
          <w:insideV w:val="nil"/>
        </w:tcBorders>
        <w:shd w:val="clear" w:color="auto" w:fill="F2F2F2"/>
      </w:tcPr>
    </w:tblStylePr>
    <w:tblStylePr w:type="lastCol">
      <w:tblPr/>
      <w:tcPr>
        <w:tcBorders>
          <w:top w:val="nil"/>
          <w:left w:val="single" w:sz="8" w:space="0" w:color="000000" w:themeColor="accent2"/>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3"/>
          <w:right w:val="nil"/>
          <w:insideH w:val="nil"/>
          <w:insideV w:val="nil"/>
        </w:tcBorders>
        <w:shd w:val="clear" w:color="auto" w:fill="F2F2F2"/>
      </w:tcPr>
    </w:tblStylePr>
    <w:tblStylePr w:type="lastRow">
      <w:tblPr/>
      <w:tcPr>
        <w:tcBorders>
          <w:top w:val="single" w:sz="8" w:space="0" w:color="000000" w:themeColor="accent3"/>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3"/>
          <w:insideH w:val="nil"/>
          <w:insideV w:val="nil"/>
        </w:tcBorders>
        <w:shd w:val="clear" w:color="auto" w:fill="F2F2F2"/>
      </w:tcPr>
    </w:tblStylePr>
    <w:tblStylePr w:type="lastCol">
      <w:tblPr/>
      <w:tcPr>
        <w:tcBorders>
          <w:top w:val="nil"/>
          <w:left w:val="single" w:sz="8" w:space="0" w:color="000000" w:themeColor="accent3"/>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F2F2F2"/>
      </w:tcPr>
    </w:tblStylePr>
    <w:tblStylePr w:type="lastRow">
      <w:tblPr/>
      <w:tcPr>
        <w:tcBorders>
          <w:top w:val="single" w:sz="8" w:space="0" w:color="000000" w:themeColor="accent4"/>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4"/>
          <w:insideH w:val="nil"/>
          <w:insideV w:val="nil"/>
        </w:tcBorders>
        <w:shd w:val="clear" w:color="auto" w:fill="F2F2F2"/>
      </w:tcPr>
    </w:tblStylePr>
    <w:tblStylePr w:type="lastCol">
      <w:tblPr/>
      <w:tcPr>
        <w:tcBorders>
          <w:top w:val="nil"/>
          <w:left w:val="single" w:sz="8" w:space="0" w:color="000000" w:themeColor="accent4"/>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5"/>
          <w:right w:val="nil"/>
          <w:insideH w:val="nil"/>
          <w:insideV w:val="nil"/>
        </w:tcBorders>
        <w:shd w:val="clear" w:color="auto" w:fill="F2F2F2"/>
      </w:tcPr>
    </w:tblStylePr>
    <w:tblStylePr w:type="lastRow">
      <w:tblPr/>
      <w:tcPr>
        <w:tcBorders>
          <w:top w:val="single" w:sz="8" w:space="0" w:color="000000" w:themeColor="accent5"/>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5"/>
          <w:insideH w:val="nil"/>
          <w:insideV w:val="nil"/>
        </w:tcBorders>
        <w:shd w:val="clear" w:color="auto" w:fill="F2F2F2"/>
      </w:tcPr>
    </w:tblStylePr>
    <w:tblStylePr w:type="lastCol">
      <w:tblPr/>
      <w:tcPr>
        <w:tcBorders>
          <w:top w:val="nil"/>
          <w:left w:val="single" w:sz="8" w:space="0" w:color="000000" w:themeColor="accent5"/>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6"/>
          <w:right w:val="nil"/>
          <w:insideH w:val="nil"/>
          <w:insideV w:val="nil"/>
        </w:tcBorders>
        <w:shd w:val="clear" w:color="auto" w:fill="F2F2F2"/>
      </w:tcPr>
    </w:tblStylePr>
    <w:tblStylePr w:type="lastRow">
      <w:tblPr/>
      <w:tcPr>
        <w:tcBorders>
          <w:top w:val="single" w:sz="8" w:space="0" w:color="000000" w:themeColor="accent6"/>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6"/>
          <w:insideH w:val="nil"/>
          <w:insideV w:val="nil"/>
        </w:tcBorders>
        <w:shd w:val="clear" w:color="auto" w:fill="F2F2F2"/>
      </w:tcPr>
    </w:tblStylePr>
    <w:tblStylePr w:type="lastCol">
      <w:tblPr/>
      <w:tcPr>
        <w:tcBorders>
          <w:top w:val="nil"/>
          <w:left w:val="single" w:sz="8" w:space="0" w:color="000000" w:themeColor="accent6"/>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insideV w:val="single" w:sz="8" w:space="0" w:color="000000" w:themeColor="tex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tex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insideV w:val="single" w:sz="8" w:space="0" w:color="000000" w:themeColor="accen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insideV w:val="single" w:sz="8" w:space="0" w:color="000000" w:themeColor="accent2"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2"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insideV w:val="single" w:sz="8" w:space="0" w:color="000000" w:themeColor="accent3"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3"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insideV w:val="single" w:sz="8" w:space="0" w:color="000000" w:themeColor="accent4"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4"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insideV w:val="single" w:sz="8" w:space="0" w:color="000000" w:themeColor="accent5"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5"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insideV w:val="single" w:sz="8" w:space="0" w:color="000000" w:themeColor="accent6"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6"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text1"/>
          <w:insideV w:val="single" w:sz="6" w:space="0" w:color="000000" w:themeColor="text1"/>
        </w:tcBorders>
        <w:shd w:val="clear" w:color="auto" w:fill="F2F2F2"/>
      </w:tcPr>
    </w:tblStylePr>
    <w:tblStylePr w:type="nwCell">
      <w:tblPr/>
      <w:tcPr>
        <w:shd w:val="clear" w:color="auto" w:fill="F2F2F2"/>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1"/>
          <w:insideV w:val="single" w:sz="6" w:space="0" w:color="000000" w:themeColor="accent1"/>
        </w:tcBorders>
        <w:shd w:val="clear" w:color="auto" w:fill="F2F2F2"/>
      </w:tcPr>
    </w:tblStylePr>
    <w:tblStylePr w:type="nwCell">
      <w:tblPr/>
      <w:tcPr>
        <w:shd w:val="clear" w:color="auto" w:fill="F2F2F2"/>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2"/>
          <w:insideV w:val="single" w:sz="6" w:space="0" w:color="000000" w:themeColor="accent2"/>
        </w:tcBorders>
        <w:shd w:val="clear" w:color="auto" w:fill="F2F2F2"/>
      </w:tcPr>
    </w:tblStylePr>
    <w:tblStylePr w:type="nwCell">
      <w:tblPr/>
      <w:tcPr>
        <w:shd w:val="clear" w:color="auto" w:fill="F2F2F2"/>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3"/>
          <w:insideV w:val="single" w:sz="6" w:space="0" w:color="000000" w:themeColor="accent3"/>
        </w:tcBorders>
        <w:shd w:val="clear" w:color="auto" w:fill="F2F2F2"/>
      </w:tcPr>
    </w:tblStylePr>
    <w:tblStylePr w:type="nwCell">
      <w:tblPr/>
      <w:tcPr>
        <w:shd w:val="clear" w:color="auto" w:fill="F2F2F2"/>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4"/>
          <w:insideV w:val="single" w:sz="6" w:space="0" w:color="000000" w:themeColor="accent4"/>
        </w:tcBorders>
        <w:shd w:val="clear" w:color="auto" w:fill="F2F2F2"/>
      </w:tcPr>
    </w:tblStylePr>
    <w:tblStylePr w:type="nwCell">
      <w:tblPr/>
      <w:tcPr>
        <w:shd w:val="clear" w:color="auto" w:fill="F2F2F2"/>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5"/>
          <w:insideV w:val="single" w:sz="6" w:space="0" w:color="000000" w:themeColor="accent5"/>
        </w:tcBorders>
        <w:shd w:val="clear" w:color="auto" w:fill="F2F2F2"/>
      </w:tcPr>
    </w:tblStylePr>
    <w:tblStylePr w:type="nwCell">
      <w:tblPr/>
      <w:tcPr>
        <w:shd w:val="clear" w:color="auto" w:fill="F2F2F2"/>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6"/>
          <w:insideV w:val="single" w:sz="6" w:space="0" w:color="000000" w:themeColor="accent6"/>
        </w:tcBorders>
        <w:shd w:val="clear" w:color="auto" w:fill="F2F2F2"/>
      </w:tcPr>
    </w:tblStylePr>
    <w:tblStylePr w:type="nwCell">
      <w:tblPr/>
      <w:tcPr>
        <w:shd w:val="clear" w:color="auto" w:fill="F2F2F2"/>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2"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4"/>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3"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3"/>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4"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6"/>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5"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5"/>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6"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28"/>
      <w:szCs w:val="28"/>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28"/>
      <w:szCs w:val="28"/>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2"/>
      <w:szCs w:val="22"/>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2"/>
      <w:szCs w:val="22"/>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Arial" w:hAnsi="Arial" w:eastAsia="Arial" w:cs="Arial"/>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F2F2F2"/>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F2F2F2"/>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Arial" w:hAnsi="Arial" w:eastAsia="Arial" w:cs="Arial"/>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F2F2F2"/>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F2F2F2"/>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Arial" w:hAnsi="Arial" w:eastAsia="Arial" w:cs="Arial"/>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F2F2F2"/>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F2F2F2"/>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Arial" w:hAnsi="Arial" w:eastAsia="Arial" w:cs="Arial"/>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F2F2F2"/>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F2F2F2"/>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Arial" w:hAnsi="Arial" w:eastAsia="Arial" w:cs="Arial"/>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F2F2F2"/>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F2F2F2"/>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Arial" w:hAnsi="Arial" w:eastAsia="Arial" w:cs="Arial"/>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F2F2F2"/>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F2F2F2"/>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F2F2F2"/>
      </w:tcPr>
    </w:tblStylePr>
    <w:tblStylePr w:type="band1Horz">
      <w:tblPr/>
      <w:tcPr>
        <w:shd w:val="clear" w:color="auto" w:fill="F2F2F2"/>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1"/>
        </w:tcBorders>
      </w:tcPr>
    </w:tblStylePr>
    <w:tblStylePr w:type="lastRow">
      <w:rPr>
        <w:b/>
        <w:bCs/>
        <w:color w:val="000000"/>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F2F2F2"/>
      </w:tcPr>
    </w:tblStylePr>
    <w:tblStylePr w:type="band1Horz">
      <w:tblPr/>
      <w:tcPr>
        <w:shd w:val="clear" w:color="auto" w:fill="F2F2F2"/>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2"/>
        </w:tcBorders>
      </w:tcPr>
    </w:tblStylePr>
    <w:tblStylePr w:type="lastRow">
      <w:rPr>
        <w:b/>
        <w:bCs/>
        <w:color w:val="000000"/>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F2F2F2"/>
      </w:tcPr>
    </w:tblStylePr>
    <w:tblStylePr w:type="band1Horz">
      <w:tblPr/>
      <w:tcPr>
        <w:shd w:val="clear" w:color="auto" w:fill="F2F2F2"/>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3"/>
        </w:tcBorders>
      </w:tcPr>
    </w:tblStylePr>
    <w:tblStylePr w:type="lastRow">
      <w:rPr>
        <w:b/>
        <w:bCs/>
        <w:color w:val="000000"/>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F2F2F2"/>
      </w:tcPr>
    </w:tblStylePr>
    <w:tblStylePr w:type="band1Horz">
      <w:tblPr/>
      <w:tcPr>
        <w:shd w:val="clear" w:color="auto" w:fill="F2F2F2"/>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4"/>
        </w:tcBorders>
      </w:tcPr>
    </w:tblStylePr>
    <w:tblStylePr w:type="lastRow">
      <w:rPr>
        <w:b/>
        <w:bCs/>
        <w:color w:val="000000"/>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F2F2F2"/>
      </w:tcPr>
    </w:tblStylePr>
    <w:tblStylePr w:type="band1Horz">
      <w:tblPr/>
      <w:tcPr>
        <w:shd w:val="clear" w:color="auto" w:fill="F2F2F2"/>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5"/>
        </w:tcBorders>
      </w:tcPr>
    </w:tblStylePr>
    <w:tblStylePr w:type="lastRow">
      <w:rPr>
        <w:b/>
        <w:bCs/>
        <w:color w:val="000000"/>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F2F2F2"/>
      </w:tcPr>
    </w:tblStylePr>
    <w:tblStylePr w:type="band1Horz">
      <w:tblPr/>
      <w:tcPr>
        <w:shd w:val="clear" w:color="auto" w:fill="F2F2F2"/>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6"/>
        </w:tcBorders>
      </w:tcPr>
    </w:tblStylePr>
    <w:tblStylePr w:type="lastRow">
      <w:rPr>
        <w:b/>
        <w:bCs/>
        <w:color w:val="000000"/>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F2F2F2"/>
      </w:tcPr>
    </w:tblStylePr>
    <w:tblStylePr w:type="band1Horz">
      <w:tblPr/>
      <w:tcPr>
        <w:shd w:val="clear" w:color="auto" w:fill="F2F2F2"/>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2F2F2"/>
      </w:tcPr>
    </w:tblStylePr>
    <w:tblStylePr w:type="lastRow">
      <w:tblPr/>
      <w:tcPr>
        <w:tcBorders>
          <w:top w:val="single" w:sz="8" w:space="0" w:color="000000" w:themeColor="tex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text1"/>
          <w:insideH w:val="nil"/>
          <w:insideV w:val="nil"/>
        </w:tcBorders>
        <w:shd w:val="clear" w:color="auto" w:fill="F2F2F2"/>
      </w:tcPr>
    </w:tblStylePr>
    <w:tblStylePr w:type="lastCol">
      <w:tblPr/>
      <w:tcPr>
        <w:tcBorders>
          <w:top w:val="nil"/>
          <w:left w:val="single" w:sz="8" w:space="0" w:color="000000" w:themeColor="tex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1"/>
          <w:right w:val="nil"/>
          <w:insideH w:val="nil"/>
          <w:insideV w:val="nil"/>
        </w:tcBorders>
        <w:shd w:val="clear" w:color="auto" w:fill="F2F2F2"/>
      </w:tcPr>
    </w:tblStylePr>
    <w:tblStylePr w:type="lastRow">
      <w:tblPr/>
      <w:tcPr>
        <w:tcBorders>
          <w:top w:val="single" w:sz="8" w:space="0" w:color="000000" w:themeColor="accen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1"/>
          <w:insideH w:val="nil"/>
          <w:insideV w:val="nil"/>
        </w:tcBorders>
        <w:shd w:val="clear" w:color="auto" w:fill="F2F2F2"/>
      </w:tcPr>
    </w:tblStylePr>
    <w:tblStylePr w:type="lastCol">
      <w:tblPr/>
      <w:tcPr>
        <w:tcBorders>
          <w:top w:val="nil"/>
          <w:left w:val="single" w:sz="8" w:space="0" w:color="000000" w:themeColor="accen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2"/>
          <w:right w:val="nil"/>
          <w:insideH w:val="nil"/>
          <w:insideV w:val="nil"/>
        </w:tcBorders>
        <w:shd w:val="clear" w:color="auto" w:fill="F2F2F2"/>
      </w:tcPr>
    </w:tblStylePr>
    <w:tblStylePr w:type="lastRow">
      <w:tblPr/>
      <w:tcPr>
        <w:tcBorders>
          <w:top w:val="single" w:sz="8" w:space="0" w:color="000000" w:themeColor="accent2"/>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2"/>
          <w:insideH w:val="nil"/>
          <w:insideV w:val="nil"/>
        </w:tcBorders>
        <w:shd w:val="clear" w:color="auto" w:fill="F2F2F2"/>
      </w:tcPr>
    </w:tblStylePr>
    <w:tblStylePr w:type="lastCol">
      <w:tblPr/>
      <w:tcPr>
        <w:tcBorders>
          <w:top w:val="nil"/>
          <w:left w:val="single" w:sz="8" w:space="0" w:color="000000" w:themeColor="accent2"/>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3"/>
          <w:right w:val="nil"/>
          <w:insideH w:val="nil"/>
          <w:insideV w:val="nil"/>
        </w:tcBorders>
        <w:shd w:val="clear" w:color="auto" w:fill="F2F2F2"/>
      </w:tcPr>
    </w:tblStylePr>
    <w:tblStylePr w:type="lastRow">
      <w:tblPr/>
      <w:tcPr>
        <w:tcBorders>
          <w:top w:val="single" w:sz="8" w:space="0" w:color="000000" w:themeColor="accent3"/>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3"/>
          <w:insideH w:val="nil"/>
          <w:insideV w:val="nil"/>
        </w:tcBorders>
        <w:shd w:val="clear" w:color="auto" w:fill="F2F2F2"/>
      </w:tcPr>
    </w:tblStylePr>
    <w:tblStylePr w:type="lastCol">
      <w:tblPr/>
      <w:tcPr>
        <w:tcBorders>
          <w:top w:val="nil"/>
          <w:left w:val="single" w:sz="8" w:space="0" w:color="000000" w:themeColor="accent3"/>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F2F2F2"/>
      </w:tcPr>
    </w:tblStylePr>
    <w:tblStylePr w:type="lastRow">
      <w:tblPr/>
      <w:tcPr>
        <w:tcBorders>
          <w:top w:val="single" w:sz="8" w:space="0" w:color="000000" w:themeColor="accent4"/>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4"/>
          <w:insideH w:val="nil"/>
          <w:insideV w:val="nil"/>
        </w:tcBorders>
        <w:shd w:val="clear" w:color="auto" w:fill="F2F2F2"/>
      </w:tcPr>
    </w:tblStylePr>
    <w:tblStylePr w:type="lastCol">
      <w:tblPr/>
      <w:tcPr>
        <w:tcBorders>
          <w:top w:val="nil"/>
          <w:left w:val="single" w:sz="8" w:space="0" w:color="000000" w:themeColor="accent4"/>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5"/>
          <w:right w:val="nil"/>
          <w:insideH w:val="nil"/>
          <w:insideV w:val="nil"/>
        </w:tcBorders>
        <w:shd w:val="clear" w:color="auto" w:fill="F2F2F2"/>
      </w:tcPr>
    </w:tblStylePr>
    <w:tblStylePr w:type="lastRow">
      <w:tblPr/>
      <w:tcPr>
        <w:tcBorders>
          <w:top w:val="single" w:sz="8" w:space="0" w:color="000000" w:themeColor="accent5"/>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5"/>
          <w:insideH w:val="nil"/>
          <w:insideV w:val="nil"/>
        </w:tcBorders>
        <w:shd w:val="clear" w:color="auto" w:fill="F2F2F2"/>
      </w:tcPr>
    </w:tblStylePr>
    <w:tblStylePr w:type="lastCol">
      <w:tblPr/>
      <w:tcPr>
        <w:tcBorders>
          <w:top w:val="nil"/>
          <w:left w:val="single" w:sz="8" w:space="0" w:color="000000" w:themeColor="accent5"/>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6"/>
          <w:right w:val="nil"/>
          <w:insideH w:val="nil"/>
          <w:insideV w:val="nil"/>
        </w:tcBorders>
        <w:shd w:val="clear" w:color="auto" w:fill="F2F2F2"/>
      </w:tcPr>
    </w:tblStylePr>
    <w:tblStylePr w:type="lastRow">
      <w:tblPr/>
      <w:tcPr>
        <w:tcBorders>
          <w:top w:val="single" w:sz="8" w:space="0" w:color="000000" w:themeColor="accent6"/>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6"/>
          <w:insideH w:val="nil"/>
          <w:insideV w:val="nil"/>
        </w:tcBorders>
        <w:shd w:val="clear" w:color="auto" w:fill="F2F2F2"/>
      </w:tcPr>
    </w:tblStylePr>
    <w:tblStylePr w:type="lastCol">
      <w:tblPr/>
      <w:tcPr>
        <w:tcBorders>
          <w:top w:val="nil"/>
          <w:left w:val="single" w:sz="8" w:space="0" w:color="000000" w:themeColor="accent6"/>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insideV w:val="single" w:sz="8" w:space="0" w:color="000000" w:themeColor="tex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tex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insideV w:val="single" w:sz="8" w:space="0" w:color="000000" w:themeColor="accen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insideV w:val="single" w:sz="8" w:space="0" w:color="000000" w:themeColor="accent2"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2"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insideV w:val="single" w:sz="8" w:space="0" w:color="000000" w:themeColor="accent3"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3"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insideV w:val="single" w:sz="8" w:space="0" w:color="000000" w:themeColor="accent4"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4"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insideV w:val="single" w:sz="8" w:space="0" w:color="000000" w:themeColor="accent5"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5"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insideV w:val="single" w:sz="8" w:space="0" w:color="000000" w:themeColor="accent6"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6"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text1"/>
          <w:insideV w:val="single" w:sz="6" w:space="0" w:color="000000" w:themeColor="text1"/>
        </w:tcBorders>
        <w:shd w:val="clear" w:color="auto" w:fill="F2F2F2"/>
      </w:tcPr>
    </w:tblStylePr>
    <w:tblStylePr w:type="nwCell">
      <w:tblPr/>
      <w:tcPr>
        <w:shd w:val="clear" w:color="auto" w:fill="F2F2F2"/>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1"/>
          <w:insideV w:val="single" w:sz="6" w:space="0" w:color="000000" w:themeColor="accent1"/>
        </w:tcBorders>
        <w:shd w:val="clear" w:color="auto" w:fill="F2F2F2"/>
      </w:tcPr>
    </w:tblStylePr>
    <w:tblStylePr w:type="nwCell">
      <w:tblPr/>
      <w:tcPr>
        <w:shd w:val="clear" w:color="auto" w:fill="F2F2F2"/>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2"/>
          <w:insideV w:val="single" w:sz="6" w:space="0" w:color="000000" w:themeColor="accent2"/>
        </w:tcBorders>
        <w:shd w:val="clear" w:color="auto" w:fill="F2F2F2"/>
      </w:tcPr>
    </w:tblStylePr>
    <w:tblStylePr w:type="nwCell">
      <w:tblPr/>
      <w:tcPr>
        <w:shd w:val="clear" w:color="auto" w:fill="F2F2F2"/>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3"/>
          <w:insideV w:val="single" w:sz="6" w:space="0" w:color="000000" w:themeColor="accent3"/>
        </w:tcBorders>
        <w:shd w:val="clear" w:color="auto" w:fill="F2F2F2"/>
      </w:tcPr>
    </w:tblStylePr>
    <w:tblStylePr w:type="nwCell">
      <w:tblPr/>
      <w:tcPr>
        <w:shd w:val="clear" w:color="auto" w:fill="F2F2F2"/>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4"/>
          <w:insideV w:val="single" w:sz="6" w:space="0" w:color="000000" w:themeColor="accent4"/>
        </w:tcBorders>
        <w:shd w:val="clear" w:color="auto" w:fill="F2F2F2"/>
      </w:tcPr>
    </w:tblStylePr>
    <w:tblStylePr w:type="nwCell">
      <w:tblPr/>
      <w:tcPr>
        <w:shd w:val="clear" w:color="auto" w:fill="F2F2F2"/>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5"/>
          <w:insideV w:val="single" w:sz="6" w:space="0" w:color="000000" w:themeColor="accent5"/>
        </w:tcBorders>
        <w:shd w:val="clear" w:color="auto" w:fill="F2F2F2"/>
      </w:tcPr>
    </w:tblStylePr>
    <w:tblStylePr w:type="nwCell">
      <w:tblPr/>
      <w:tcPr>
        <w:shd w:val="clear" w:color="auto" w:fill="F2F2F2"/>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6"/>
          <w:insideV w:val="single" w:sz="6" w:space="0" w:color="000000" w:themeColor="accent6"/>
        </w:tcBorders>
        <w:shd w:val="clear" w:color="auto" w:fill="F2F2F2"/>
      </w:tcPr>
    </w:tblStylePr>
    <w:tblStylePr w:type="nwCell">
      <w:tblPr/>
      <w:tcPr>
        <w:shd w:val="clear" w:color="auto" w:fill="F2F2F2"/>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2"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4"/>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3"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3"/>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4"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6"/>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5"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5"/>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6"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boe.es/buscar/act.php?id=BOE-A-2015-11430#a34" TargetMode="External"/><Relationship Id="rId10" Type="http://schemas.openxmlformats.org/officeDocument/2006/relationships/hyperlink" Target="https://www.boe.es/buscar/act.php?id=BOE-A-2011-15936#a139" TargetMode="External"/><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