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de día de asuntos propios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Solicitud de ausencia por asuntos propios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disfrutar el día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 como </w:t>
      </w:r>
      <w:r>
        <w:rPr>
          <w:rFonts w:ascii="Aptos" w:hAnsi="Aptos"/>
          <w:b/>
          <w:i w:val="0"/>
          <w:color w:val="397CDD"/>
          <w:sz w:val="21"/>
          <w:shd w:fill="EDF4FE"/>
        </w:rPr>
        <w:t>[DÍA DE ASUNTOS PROPIOS / LICENCIA PERSONAL / PERMISO SIN SUELDO]</w:t>
      </w:r>
      <w:r>
        <w:rPr>
          <w:rFonts w:ascii="Aptos" w:hAnsi="Aptos"/>
          <w:b w:val="0"/>
          <w:i w:val="0"/>
          <w:color w:val="2B3237"/>
          <w:sz w:val="21"/>
        </w:rPr>
        <w:t xml:space="preserve">, de acuerdo con </w:t>
      </w:r>
      <w:r>
        <w:rPr>
          <w:rFonts w:ascii="Aptos" w:hAnsi="Aptos"/>
          <w:b/>
          <w:i w:val="0"/>
          <w:color w:val="397CDD"/>
          <w:sz w:val="21"/>
          <w:shd w:fill="EDF4FE"/>
        </w:rPr>
        <w:t>[CONVENIO, CONTRATO, ACUERDO O POLÍTICA INTERNA]</w:t>
      </w:r>
      <w:r>
        <w:rPr>
          <w:rFonts w:ascii="Aptos" w:hAnsi="Aptos"/>
          <w:b w:val="0"/>
          <w:i w:val="0"/>
          <w:color w:val="2B3237"/>
          <w:sz w:val="21"/>
        </w:rPr>
        <w:t xml:space="preserve"> que reconoce esta posibilidad.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solicitud se formula con el preaviso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días y dentro del saldo o límite aplicable. No incluyo detalles personales porque no son necesarios para tramitarla, salvo que la regulación concreta exija una justificación determinada.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En caso de que la empresa considere que la modalidad solicitada no existe o no puede disfrutarse en esa fecha, pido respuesta escrita que identifique la regla aplicada y, si procede, fechas alternativas.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Ruego acusen recibo y confirmen si el día será retribuido, no retribuido o compensado conforme a la regulación indicada.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de día de asuntos propios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El Estatuto de los Trabajadores no concede con carácter general días de asuntos propios. No uses este escrito como si existiera un derecho automático: primero verifica convenio, contrato, acuerdo de empresa o política aplicable y sus requisitos.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Localiza y adjunta, si es útil, el artículo del convenio, contrato, acuerdo o política que reconoce el permiso. Guarda el saldo y las solicitudes anteriores.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artículos 37 y 82.3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día de asuntos propios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