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2"/>
        </w:rPr>
        <w:t>MODELO EDITABLE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Solicitud de corrección del cuadrante por falta de descanso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 w:val="0"/>
          <w:sz w:val="22"/>
        </w:rPr>
        <w:t>Completa los campos entre corchetes y elimina las alternativas que no correspondan.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18"/>
        </w:rPr>
        <w:t>TEXTO DEL ESCRITO · PARA ADAPTAR Y ENVIAR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A LA ATENCIÓN DE </w:t>
      </w:r>
      <w:r>
        <w:rPr>
          <w:rFonts w:ascii="Arial" w:hAnsi="Arial" w:eastAsia="Arial" w:cs="Arial"/>
          <w:b w:val="0"/>
          <w:color w:val="000000"/>
          <w:sz w:val="22"/>
        </w:rPr>
        <w:t>[EMPRESA / RECURSOS HUMANOS]</w:t>
      </w:r>
      <w:r>
        <w:rPr>
          <w:rFonts w:ascii="Arial" w:hAnsi="Arial" w:eastAsia="Arial" w:cs="Arial"/>
          <w:b w:val="0"/>
          <w:sz w:val="22"/>
        </w:rPr>
        <w:br/>
        <w:t xml:space="preserve">De: </w:t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  <w:t xml:space="preserve"> · DNI/NIE: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br/>
        <w:t xml:space="preserve">Centro y puesto: </w:t>
      </w:r>
      <w:r>
        <w:rPr>
          <w:rFonts w:ascii="Arial" w:hAnsi="Arial" w:eastAsia="Arial" w:cs="Arial"/>
          <w:b w:val="0"/>
          <w:color w:val="000000"/>
          <w:sz w:val="22"/>
        </w:rPr>
        <w:t>[DATOS]</w:t>
      </w:r>
      <w:r>
        <w:rPr>
          <w:rFonts w:ascii="Arial" w:hAnsi="Arial" w:eastAsia="Arial" w:cs="Arial"/>
          <w:b w:val="0"/>
          <w:sz w:val="22"/>
        </w:rPr>
        <w:br/>
        <w:t xml:space="preserve">En </w:t>
      </w:r>
      <w:r>
        <w:rPr>
          <w:rFonts w:ascii="Arial" w:hAnsi="Arial" w:eastAsia="Arial" w:cs="Arial"/>
          <w:b w:val="0"/>
          <w:color w:val="000000"/>
          <w:sz w:val="22"/>
        </w:rPr>
        <w:t>[LOCALIDAD]</w:t>
      </w:r>
      <w:r>
        <w:rPr>
          <w:rFonts w:ascii="Arial" w:hAnsi="Arial" w:eastAsia="Arial" w:cs="Arial"/>
          <w:b w:val="0"/>
          <w:sz w:val="22"/>
        </w:rPr>
        <w:t xml:space="preserve">, a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En el cuadrante de </w:t>
      </w:r>
      <w:r>
        <w:rPr>
          <w:rFonts w:ascii="Arial" w:hAnsi="Arial" w:eastAsia="Arial" w:cs="Arial"/>
          <w:b w:val="0"/>
          <w:color w:val="000000"/>
          <w:sz w:val="22"/>
        </w:rPr>
        <w:t>[PERIODO]</w:t>
      </w:r>
      <w:r>
        <w:rPr>
          <w:rFonts w:ascii="Arial" w:hAnsi="Arial" w:eastAsia="Arial" w:cs="Arial"/>
          <w:b w:val="0"/>
          <w:sz w:val="22"/>
        </w:rPr>
        <w:t xml:space="preserve">, mi jornada termina el </w:t>
      </w:r>
      <w:r>
        <w:rPr>
          <w:rFonts w:ascii="Arial" w:hAnsi="Arial" w:eastAsia="Arial" w:cs="Arial"/>
          <w:b w:val="0"/>
          <w:color w:val="000000"/>
          <w:sz w:val="22"/>
        </w:rPr>
        <w:t>[FECHA Y HORA]</w:t>
      </w:r>
      <w:r>
        <w:rPr>
          <w:rFonts w:ascii="Arial" w:hAnsi="Arial" w:eastAsia="Arial" w:cs="Arial"/>
          <w:b w:val="0"/>
          <w:sz w:val="22"/>
        </w:rPr>
        <w:t xml:space="preserve"> y la siguiente comienza el </w:t>
      </w:r>
      <w:r>
        <w:rPr>
          <w:rFonts w:ascii="Arial" w:hAnsi="Arial" w:eastAsia="Arial" w:cs="Arial"/>
          <w:b w:val="0"/>
          <w:color w:val="000000"/>
          <w:sz w:val="22"/>
        </w:rPr>
        <w:t>[FECHA Y HORA]</w:t>
      </w:r>
      <w:r>
        <w:rPr>
          <w:rFonts w:ascii="Arial" w:hAnsi="Arial" w:eastAsia="Arial" w:cs="Arial"/>
          <w:b w:val="0"/>
          <w:sz w:val="22"/>
        </w:rPr>
        <w:t xml:space="preserve">, con </w:t>
      </w:r>
      <w:r>
        <w:rPr>
          <w:rFonts w:ascii="Arial" w:hAnsi="Arial" w:eastAsia="Arial" w:cs="Arial"/>
          <w:b w:val="0"/>
          <w:color w:val="000000"/>
          <w:sz w:val="22"/>
        </w:rPr>
        <w:t>[TOTAL]</w:t>
      </w:r>
      <w:r>
        <w:rPr>
          <w:rFonts w:ascii="Arial" w:hAnsi="Arial" w:eastAsia="Arial" w:cs="Arial"/>
          <w:b w:val="0"/>
          <w:sz w:val="22"/>
        </w:rPr>
        <w:t xml:space="preserve"> horas consecutivas sin trabajo. Aporto el cuadrante y el registro real de </w:t>
      </w:r>
      <w:r>
        <w:rPr>
          <w:rFonts w:ascii="Arial" w:hAnsi="Arial" w:eastAsia="Arial" w:cs="Arial"/>
          <w:b w:val="0"/>
          <w:color w:val="000000"/>
          <w:sz w:val="22"/>
        </w:rPr>
        <w:t>[FECHAS]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El descanso diario aplicable es </w:t>
      </w:r>
      <w:r>
        <w:rPr>
          <w:rFonts w:ascii="Arial" w:hAnsi="Arial" w:eastAsia="Arial" w:cs="Arial"/>
          <w:b w:val="0"/>
          <w:color w:val="000000"/>
          <w:sz w:val="22"/>
        </w:rPr>
        <w:t>[HORAS Y NORMA]</w:t>
      </w:r>
      <w:r>
        <w:rPr>
          <w:rFonts w:ascii="Arial" w:hAnsi="Arial" w:eastAsia="Arial" w:cs="Arial"/>
          <w:b w:val="0"/>
          <w:sz w:val="22"/>
        </w:rPr>
        <w:t xml:space="preserve"> y el semanal </w:t>
      </w:r>
      <w:r>
        <w:rPr>
          <w:rFonts w:ascii="Arial" w:hAnsi="Arial" w:eastAsia="Arial" w:cs="Arial"/>
          <w:b w:val="0"/>
          <w:color w:val="000000"/>
          <w:sz w:val="22"/>
        </w:rPr>
        <w:t>[HORAS Y NORMA/CONVENIO]</w:t>
      </w:r>
      <w:r>
        <w:rPr>
          <w:rFonts w:ascii="Arial" w:hAnsi="Arial" w:eastAsia="Arial" w:cs="Arial"/>
          <w:b w:val="0"/>
          <w:sz w:val="22"/>
        </w:rPr>
        <w:t xml:space="preserve">. Descontado el diario, restan </w:t>
      </w:r>
      <w:r>
        <w:rPr>
          <w:rFonts w:ascii="Arial" w:hAnsi="Arial" w:eastAsia="Arial" w:cs="Arial"/>
          <w:b w:val="0"/>
          <w:color w:val="000000"/>
          <w:sz w:val="22"/>
        </w:rPr>
        <w:t>[HORAS]</w:t>
      </w:r>
      <w:r>
        <w:rPr>
          <w:rFonts w:ascii="Arial" w:hAnsi="Arial" w:eastAsia="Arial" w:cs="Arial"/>
          <w:b w:val="0"/>
          <w:sz w:val="22"/>
        </w:rPr>
        <w:t xml:space="preserve"> para el semanal. En el ciclo de catorce días </w:t>
      </w:r>
      <w:r>
        <w:rPr>
          <w:rFonts w:ascii="Arial" w:hAnsi="Arial" w:eastAsia="Arial" w:cs="Arial"/>
          <w:b w:val="0"/>
          <w:color w:val="000000"/>
          <w:sz w:val="22"/>
        </w:rPr>
        <w:t>[EXPLICAR DISTRIBUCIÓN Y POSIBLE ACUMULACIÓN]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Solicito que se compruebe el cómputo independiente de ambos descansos y se rectifique el cuadrante para garantizar su disfrute efectivo. Si se invoca un régimen especial, solicito identificar la norma, sus requisitos y el descanso compensatorio que corresponda.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Propongo </w:t>
      </w:r>
      <w:r>
        <w:rPr>
          <w:rFonts w:ascii="Arial" w:hAnsi="Arial" w:eastAsia="Arial" w:cs="Arial"/>
          <w:b w:val="0"/>
          <w:color w:val="000000"/>
          <w:sz w:val="22"/>
        </w:rPr>
        <w:t>[ALTERNATIVA COMPATIBLE, SI SE CONOCE]</w:t>
      </w:r>
      <w:r>
        <w:rPr>
          <w:rFonts w:ascii="Arial" w:hAnsi="Arial" w:eastAsia="Arial" w:cs="Arial"/>
          <w:b w:val="0"/>
          <w:sz w:val="22"/>
        </w:rPr>
        <w:t>. Pido respuesta escrita y copia de la planificación corregida. Reservo las acciones que procedan, sin cuantificar mediante este escrito una indemnización automática.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Atentamente,</w:t>
        <w:br/>
      </w:r>
      <w:r>
        <w:rPr>
          <w:rFonts w:ascii="Arial" w:hAnsi="Arial" w:eastAsia="Arial" w:cs="Arial"/>
          <w:b w:val="0"/>
          <w:color w:val="000000"/>
          <w:sz w:val="22"/>
        </w:rPr>
        <w:t>[FIRMA]</w:t>
      </w:r>
      <w:r>
        <w:rPr>
          <w:rFonts w:ascii="Arial" w:hAnsi="Arial" w:eastAsia="Arial" w:cs="Arial"/>
          <w:b w:val="0"/>
          <w:sz w:val="22"/>
        </w:rPr>
        <w:br/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</w:r>
    </w:p>
    <w:p>
      <w:pPr>
        <w:widowControl/>
      </w:pPr>
      <w:r>
        <w:rPr>
          <w:rFonts w:ascii="Arial" w:hAnsi="Arial" w:eastAsia="Arial" w:cs="Arial"/>
        </w:rPr>
        <w:br w:type="page"/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GUÍA DE USO</w:t>
      </w:r>
    </w:p>
    <w:p>
      <w:pPr>
        <w:widowControl/>
        <w:spacing w:after="140" w:line="259" w:lineRule="auto"/>
        <w:jc w:val="center"/>
      </w:pPr>
      <w:r>
        <w:t>NO ENVÍES LA GUÍA DE USO CON EL ESCRITO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Antes de enviarlo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El descanso diario no se absorbe en el semanal. En el régimen general español se distinguen doce horas diarias y treinta y seis semanales; revisa convenio, acumulación y excepciones sectoriales. La STS 274/2026 aplica sesenta horas al convenio de su caso (doce más cuarenta y ocho), no a todos los trabajadores. Cuenta horas reales, no días naturales completos. Un defecto no fija automáticamente una indemnización: hechos, acción y prueba importan. La petición no suspende plazos de impugnación ni autoriza a abandonar el puesto. Ante riesgo grave e inminente, consulta además el artículo 21 LPRL y actúa por su cauce.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Dibuja la secuencia completa de turnos de varios días: salida, siguiente entrada y descanso semanal. Distingue descanso diario y semanal y el régimen especial, si existe. No sumes compensaciones sin identificar el incumplimiento concreto y su periodo.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Preparación y entrega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1. Completa fechas, destinatario, hechos y cantidades con datos que puedas acreditar.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2. Elimina opciones incompatibles y esta guía antes de presentar. No firmes campos en blanco.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3. Adjunta solo prueba pertinente; limita los datos médicos y de terceros.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4. Usa un canal que acredite contenido, fecha y recepción, y guarda el justificante.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Fuentes oficiales de referencia</w:t>
      </w:r>
    </w:p>
    <w:p>
      <w:pPr>
        <w:widowControl/>
        <w:spacing w:after="100"/>
      </w:pPr>
      <w:hyperlink r:id="rId9">
        <w:r>
          <w:rPr>
            <w:color w:val="000000"/>
          </w:rPr>
          <w:t>Estatuto de los Trabajadores, arts. 34 y 37</w:t>
        </w:r>
      </w:hyperlink>
    </w:p>
    <w:p>
      <w:pPr>
        <w:widowControl/>
        <w:spacing w:after="100"/>
      </w:pPr>
      <w:hyperlink r:id="rId10">
        <w:r>
          <w:rPr>
            <w:color w:val="000000"/>
          </w:rPr>
          <w:t>TJUE C-477/21, ECLI:EU:C:2023:140</w:t>
        </w:r>
      </w:hyperlink>
    </w:p>
    <w:p>
      <w:pPr>
        <w:widowControl/>
        <w:spacing w:after="100"/>
      </w:pPr>
      <w:hyperlink r:id="rId11">
        <w:r>
          <w:rPr>
            <w:color w:val="000000"/>
          </w:rPr>
          <w:t>STS 274/2026, rec. 4301/2024 · ECLI:ES:TS:2026:1216</w:t>
        </w:r>
      </w:hyperlink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18"/>
        </w:rPr>
        <w:t>Modelo general. La plantilla no presenta ningún trámite ni garantiza el resultado. Revisión: 20 de septiembre de 2026.</w:t>
      </w:r>
    </w:p>
    <w:sectPr w:rsidR="00FC693F" w:rsidRPr="0006063C" w:rsidSect="00034616">
      <w:footerReference w:type="default" r:id="rId12"/>
      <w:headerReference w:type="default" r:id="rId13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</w:rPr>
      <w:t>CALMA AI · Modelo laboral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Arial" w:hAnsi="Arial" w:eastAsia="Arial" w:cs="Arial"/>
        <w:color w:val="000000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left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buscar/act.php?id=BOE-A-2015-11430" TargetMode="External"/><Relationship Id="rId10" Type="http://schemas.openxmlformats.org/officeDocument/2006/relationships/hyperlink" Target="https://eur-lex.europa.eu/legal-content/ES/TXT/?uri=CELEX:62021CJ0477" TargetMode="External"/><Relationship Id="rId11" Type="http://schemas.openxmlformats.org/officeDocument/2006/relationships/hyperlink" Target="https://www.poderjudicial.es/search/AN/openDocument/ef39829a950eba46a0a8778d75e36f0d/20260326" TargetMode="External"/><Relationship Id="rId12" Type="http://schemas.openxmlformats.org/officeDocument/2006/relationships/footer" Target="footer1.xml"/><Relationship Id="rId1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