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color w:val="000000"/>
          <w:sz w:val="28"/>
        </w:rPr>
        <w:t>Solicitud de información del contrato</w:t>
      </w:r>
    </w:p>
    <w:p>
      <w:pPr>
        <w:widowControl/>
      </w:pPr>
      <w:r>
        <w:rPr>
          <w:rFonts w:ascii="Arial" w:hAnsi="Arial" w:eastAsia="Arial" w:cs="Arial"/>
          <w:sz w:val="22"/>
        </w:rPr>
        <w:t xml:space="preserve">A la atención de </w:t>
      </w:r>
      <w:r>
        <w:rPr>
          <w:rFonts w:ascii="Arial" w:hAnsi="Arial" w:eastAsia="Arial" w:cs="Arial"/>
          <w:b/>
          <w:color w:val="000000"/>
          <w:sz w:val="22"/>
        </w:rPr>
        <w:t>[EMPRESA / DEPARTAMENTO DE PERSONAL]</w:t>
      </w:r>
    </w:p>
    <w:p>
      <w:pPr>
        <w:widowControl/>
      </w:pPr>
      <w:r>
        <w:rPr>
          <w:rFonts w:ascii="Arial" w:hAnsi="Arial" w:eastAsia="Arial" w:cs="Arial"/>
          <w:sz w:val="22"/>
        </w:rPr>
        <w:t xml:space="preserve">De </w:t>
      </w:r>
      <w:r>
        <w:rPr>
          <w:rFonts w:ascii="Arial" w:hAnsi="Arial" w:eastAsia="Arial" w:cs="Arial"/>
          <w:b/>
          <w:color w:val="000000"/>
          <w:sz w:val="22"/>
        </w:rPr>
        <w:t>[NOMBRE Y APELLIDOS]</w:t>
      </w:r>
      <w:r>
        <w:rPr>
          <w:rFonts w:ascii="Arial" w:hAnsi="Arial" w:eastAsia="Arial" w:cs="Arial"/>
          <w:sz w:val="22"/>
        </w:rPr>
        <w:t xml:space="preserve"> · DNI/NIE </w:t>
      </w:r>
      <w:r>
        <w:rPr>
          <w:rFonts w:ascii="Arial" w:hAnsi="Arial" w:eastAsia="Arial" w:cs="Arial"/>
          <w:b/>
          <w:color w:val="000000"/>
          <w:sz w:val="22"/>
        </w:rPr>
        <w:t>[NÚMERO]</w:t>
      </w:r>
      <w:r>
        <w:rPr>
          <w:rFonts w:ascii="Arial" w:hAnsi="Arial" w:eastAsia="Arial" w:cs="Arial"/>
          <w:sz w:val="22"/>
        </w:rPr>
        <w:t xml:space="preserve"> · Puesto </w:t>
      </w:r>
      <w:r>
        <w:rPr>
          <w:rFonts w:ascii="Arial" w:hAnsi="Arial" w:eastAsia="Arial" w:cs="Arial"/>
          <w:b/>
          <w:color w:val="000000"/>
          <w:sz w:val="22"/>
        </w:rPr>
        <w:t>[PUESTO]</w:t>
      </w:r>
    </w:p>
    <w:p>
      <w:pPr>
        <w:keepNext/>
        <w:widowControl/>
      </w:pPr>
      <w:r>
        <w:rPr>
          <w:sz w:val="22"/>
        </w:rPr>
        <w:t>En [LOCALIDAD], a [FECHA DE PRESENTACIÓN]</w:t>
      </w:r>
    </w:p>
    <w:p>
      <w:pPr>
        <w:widowControl/>
        <w:spacing w:before="80"/>
      </w:pPr>
      <w:r>
        <w:rPr>
          <w:rFonts w:ascii="Arial" w:hAnsi="Arial" w:eastAsia="Arial" w:cs="Arial"/>
          <w:b/>
          <w:sz w:val="22"/>
        </w:rPr>
        <w:t xml:space="preserve">Asunto  </w:t>
      </w:r>
      <w:r>
        <w:rPr>
          <w:rFonts w:ascii="Arial" w:hAnsi="Arial" w:eastAsia="Arial" w:cs="Arial"/>
          <w:sz w:val="22"/>
        </w:rPr>
        <w:t>Solicitud de información escrita sobre condiciones de trabajo no obrante en mi poder</w:t>
      </w:r>
    </w:p>
    <w:p>
      <w:pPr>
        <w:widowControl/>
      </w:pPr>
      <w:r>
        <w:rPr>
          <w:rFonts w:ascii="Arial" w:hAnsi="Arial" w:eastAsia="Arial" w:cs="Arial"/>
          <w:sz w:val="22"/>
        </w:rPr>
        <w:t xml:space="preserve">Presto servicios para la empresa desde </w:t>
      </w:r>
      <w:r>
        <w:rPr>
          <w:rFonts w:ascii="Arial" w:hAnsi="Arial" w:eastAsia="Arial" w:cs="Arial"/>
          <w:b/>
          <w:color w:val="000000"/>
          <w:sz w:val="22"/>
        </w:rPr>
        <w:t>[FECHA DE INICIO]</w:t>
      </w:r>
      <w:r>
        <w:rPr>
          <w:rFonts w:ascii="Arial" w:hAnsi="Arial" w:eastAsia="Arial" w:cs="Arial"/>
          <w:sz w:val="22"/>
        </w:rPr>
        <w:t>. Mi relación laboral estaba vigente el 5 de octubre de 2026 y continúa vigente. Al amparo de los artículos 3 a 6 y de la disposición transitoria única del Real Decreto 723/2026, solicito que se me facilite por escrito la información relativa a mi relación laboral que no obre ya en mi poder. En concreto, pido que se complete la siguiente información:</w:t>
      </w:r>
    </w:p>
    <w:p>
      <w:pPr>
        <w:keepLines/>
        <w:widowControl/>
        <w:spacing w:after="80"/>
      </w:pPr>
      <w:r>
        <w:rPr>
          <w:b/>
          <w:sz w:val="22"/>
        </w:rPr>
        <w:t xml:space="preserve">1. Identificación y puesto. </w:t>
      </w:r>
      <w:r>
        <w:rPr>
          <w:sz w:val="22"/>
        </w:rPr>
        <w:t>Partes, inicio y, si soy temporal, fecha final o duración prevista; domicilio empresarial, centro habitual o adscripción en trabajo a distancia, prestación en varios centros, móvil o itinerante o libre elección de lugar; funciones, grupo y descripción precisa del puesto; causa temporal concreta, circunstancias que la justifican y conexión con la duración.</w:t>
      </w:r>
    </w:p>
    <w:p>
      <w:pPr>
        <w:keepLines/>
        <w:widowControl/>
        <w:spacing w:after="80"/>
      </w:pPr>
      <w:r>
        <w:rPr>
          <w:b/>
          <w:sz w:val="22"/>
        </w:rPr>
        <w:t xml:space="preserve">2. Retribución. </w:t>
      </w:r>
      <w:r>
        <w:rPr>
          <w:sz w:val="22"/>
        </w:rPr>
        <w:t xml:space="preserve"> Salario base y cada complemento por separado, periodicidad y método de pago; forma de cálculo y criterios de percepción de los conceptos variables, si existen.</w:t>
      </w:r>
    </w:p>
    <w:p>
      <w:pPr>
        <w:keepLines/>
        <w:widowControl/>
        <w:spacing w:after="80"/>
      </w:pPr>
      <w:r>
        <w:rPr>
          <w:b/>
          <w:sz w:val="22"/>
        </w:rPr>
        <w:t xml:space="preserve">3. Tiempo de trabajo. </w:t>
      </w:r>
      <w:r>
        <w:rPr>
          <w:sz w:val="22"/>
        </w:rPr>
        <w:t xml:space="preserve"> Jornada diaria, semanal y anual, distribución, noches y turnos; supuestos y procedimientos de cambio; horas extraordinarias y retribución; vacaciones y forma de fijación. Si hay distribución irregular, horas y días de referencia y preavisos de asignación/cancelación; si soy fijo discontinuo, periodos de actividad e inactividad o su estimación.</w:t>
      </w:r>
    </w:p>
    <w:p>
      <w:pPr>
        <w:keepLines/>
        <w:widowControl/>
        <w:spacing w:after="80"/>
      </w:pPr>
      <w:r>
        <w:rPr>
          <w:b/>
          <w:sz w:val="22"/>
        </w:rPr>
        <w:t xml:space="preserve">4. Otras condiciones. </w:t>
      </w:r>
      <w:r>
        <w:rPr>
          <w:sz w:val="22"/>
        </w:rPr>
        <w:t>Duración concreta del periodo de prueba y obligaciones y experiencias que constituyen su objeto, si existe; derecho a formación a cargo de la empresa; si interviene una ETT, empresa usuaria y causa de cada puesta a disposición.</w:t>
      </w:r>
    </w:p>
    <w:p>
      <w:pPr>
        <w:keepLines/>
        <w:widowControl/>
        <w:spacing w:after="80"/>
      </w:pPr>
      <w:r>
        <w:rPr>
          <w:b/>
          <w:sz w:val="22"/>
        </w:rPr>
        <w:t xml:space="preserve">5. Decisiones y políticas. </w:t>
      </w:r>
      <w:r>
        <w:rPr>
          <w:sz w:val="22"/>
        </w:rPr>
        <w:t xml:space="preserve"> Existencia de sistemas automatizados que afecten a jornada, tareas, salario, progresión, lugar de trabajo o extinción y sus pautas, criterios y reglas; plan de igualdad aplicable, política adicional de conciliación y protocolo de acoso sexual o por razón de sexo; medidas LGTBI, cuando existan.</w:t>
      </w:r>
    </w:p>
    <w:p>
      <w:pPr>
        <w:keepLines/>
        <w:widowControl/>
        <w:spacing w:after="80"/>
      </w:pPr>
      <w:r>
        <w:rPr>
          <w:b/>
          <w:sz w:val="22"/>
        </w:rPr>
        <w:t xml:space="preserve">6. Convenio, protección y cambios. </w:t>
      </w:r>
      <w:r>
        <w:rPr>
          <w:sz w:val="22"/>
        </w:rPr>
        <w:t>Procedimiento de extinción, formalidades y preavisos de ambas partes o su forma de determinación; convenio o convenios aplicables con código, publicación, vigencia y ultraactividad; entidad gestora o colaboradora de Seguridad Social para cualquier contingencia o prestación, colaboración directa, mejoras voluntarias y planes y fondos de pensiones, incluidas aportaciones; supuestos y procedimientos de futuros cambios de funciones, grupo, salario o tiempo de trabajo.</w:t>
      </w:r>
    </w:p>
    <w:p>
      <w:pPr>
        <w:keepLines/>
        <w:pageBreakBefore/>
        <w:widowControl/>
        <w:spacing w:after="80"/>
      </w:pPr>
      <w:r>
        <w:rPr>
          <w:sz w:val="22"/>
        </w:rPr>
        <w:t>7A. Trabajo en el extranjero. País o países y duración prevista; moneda de pago; prestaciones adicionales en dinero o especie, gastos de viaje, dietas y otras ventajas; si procede la repatriación y en qué condiciones. [SI ADEMÁS ES UN DESPLAZAMIENTO TRANSNACIONAL A LA UE/EEE]: remuneración obligatoria del Estado de destino; complementos y reembolso de viaje, alojamiento y manutención; enlace al sitio web nacional oficial de información sobre desplazamientos. País y periodo: [PAÍS Y FECHAS].</w:t>
      </w:r>
    </w:p>
    <w:p>
      <w:r>
        <w:rPr>
          <w:sz w:val="22"/>
        </w:rPr>
        <w:t>7B. Cambios anteriores. Solicito la información que falta sobre las siguientes modificaciones de los datos anteriores: [CONDICIONES MODIFICADAS Y FECHAS].</w:t>
      </w:r>
    </w:p>
    <w:p>
      <w:pPr>
        <w:widowControl/>
        <w:spacing w:before="80"/>
      </w:pPr>
      <w:r>
        <w:rPr>
          <w:sz w:val="22"/>
        </w:rPr>
        <w:t>Ruego que la información se facilite mediante uno o varios documentos escritos, en papel o formato electrónico accesible que pueda conservar e imprimir, dentro de los treinta días hábiles siguientes a la recepción de esta solicitud. Si se utiliza una remisión en los casos permitidos por los artículos 3.3 y 4.2, solicito que identifique con precisión la disposición aplicable. Agradeceré acuse de recibo con fecha.</w:t>
      </w:r>
    </w:p>
    <w:p>
      <w:pPr>
        <w:keepNext w:val="0"/>
        <w:widowControl/>
        <w:spacing w:after="140" w:line="259" w:lineRule="auto"/>
      </w:pPr>
      <w:r>
        <w:rPr>
          <w:rFonts w:ascii="Arial" w:hAnsi="Arial"/>
          <w:b w:val="0"/>
          <w:color w:val="000000"/>
          <w:sz w:val="22"/>
        </w:rPr>
        <w:t>Para facilitar la respuesta, identifico lo ya recibido en [documentos y fechas] y los extremos que permanecen incompletos o contradictorios en [apartados]. Solicito que las remisiones a norma o convenio permitan localizar la regulación concreta aplicable.</w:t>
      </w:r>
    </w:p>
    <w:p>
      <w:pPr>
        <w:keepNext/>
        <w:widowControl/>
      </w:pPr>
      <w:r>
        <w:rPr>
          <w:rFonts w:ascii="Arial" w:hAnsi="Arial" w:eastAsia="Arial" w:cs="Arial"/>
          <w:sz w:val="22"/>
        </w:rPr>
        <w:t>Atentamente,</w:t>
      </w:r>
    </w:p>
    <w:p>
      <w:pPr>
        <w:widowControl/>
      </w:pPr>
      <w:r>
        <w:rPr>
          <w:rFonts w:ascii="Arial" w:hAnsi="Arial" w:eastAsia="Arial" w:cs="Arial"/>
          <w:b/>
          <w:color w:val="000000"/>
          <w:sz w:val="22"/>
        </w:rPr>
        <w:t>[FIRMA]  [NOMBRE Y APELLIDOS]</w:t>
      </w:r>
    </w:p>
    <w:p>
      <w:pPr>
        <w:widowControl/>
      </w:pPr>
      <w:r>
        <w:rPr>
          <w:rFonts w:ascii="Arial" w:hAnsi="Arial" w:eastAsia="Arial" w:cs="Arial"/>
          <w:sz w:val="22"/>
        </w:rPr>
        <w:br w:type="page"/>
      </w:r>
    </w:p>
    <w:p>
      <w:pPr>
        <w:keepNext/>
        <w:pageBreakBefore/>
        <w:widowControl/>
      </w:pPr>
      <w:r>
        <w:rPr>
          <w:rFonts w:ascii="Arial" w:hAnsi="Arial" w:eastAsia="Arial" w:cs="Arial"/>
          <w:b/>
          <w:sz w:val="22"/>
        </w:rPr>
        <w:t>GUÍA DE USO</w:t>
      </w:r>
    </w:p>
    <w:p>
      <w:pPr>
        <w:keepNext/>
        <w:widowControl/>
        <w:spacing w:after="140" w:line="259" w:lineRule="auto"/>
      </w:pPr>
      <w:r>
        <w:rPr>
          <w:rFonts w:ascii="Arial" w:hAnsi="Arial"/>
          <w:b/>
          <w:color w:val="000000"/>
          <w:sz w:val="22"/>
        </w:rPr>
        <w:t>Datos y comprobaciones de este modelo</w:t>
      </w:r>
    </w:p>
    <w:p>
      <w:pPr>
        <w:keepNext w:val="0"/>
        <w:widowControl/>
        <w:spacing w:after="140" w:line="259" w:lineRule="auto"/>
      </w:pPr>
      <w:r>
        <w:rPr>
          <w:rFonts w:ascii="Arial" w:hAnsi="Arial"/>
          <w:b w:val="0"/>
          <w:color w:val="000000"/>
          <w:sz w:val="22"/>
        </w:rPr>
        <w:t>Distingue información que falta, información imprecisa y cambios posteriores. Identifica contrato y fecha de inicio. Limita la solicitud a la información laboral que falta. Conserva prueba de recepción y las respuestas parciales; señala después qué puntos siguen pendientes.</w:t>
      </w:r>
    </w:p>
    <w:p>
      <w:pPr>
        <w:pStyle w:val="Title"/>
        <w:widowControl/>
      </w:pPr>
      <w:r>
        <w:rPr>
          <w:rFonts w:ascii="Arial" w:hAnsi="Arial" w:eastAsia="Arial" w:cs="Arial"/>
        </w:rPr>
        <w:t>Solicitud de información del contrato</w:t>
      </w:r>
    </w:p>
    <w:p>
      <w:pPr>
        <w:widowControl/>
      </w:pPr>
      <w:r>
        <w:t>NO ENVÍES LA GUÍA DE USO CON EL ESCRITO</w:t>
      </w:r>
    </w:p>
    <w:p>
      <w:pPr>
        <w:pStyle w:val="Heading1"/>
        <w:widowControl/>
      </w:pPr>
      <w:r>
        <w:rPr>
          <w:rFonts w:ascii="Arial" w:hAnsi="Arial" w:eastAsia="Arial" w:cs="Arial"/>
        </w:rPr>
        <w:t>Cuándo sirve</w:t>
      </w:r>
    </w:p>
    <w:p>
      <w:pPr>
        <w:widowControl/>
      </w:pPr>
      <w:r>
        <w:rPr>
          <w:sz w:val="22"/>
        </w:rPr>
        <w:t>Úsalo para una relación laboral que ya estaba vigente el 5 de octubre de 2026, dura más de cuatro semanas y continúa vigente, si necesitas información que no tienes. La norma está vigente desde esa fecha. La empresa tiene treinta días hábiles desde que recibe la solicitud. Pesca, gente de mar, relaciones especiales y empleo público requieren revisar sus reglas específicas.</w:t>
      </w:r>
    </w:p>
    <w:p>
      <w:pPr>
        <w:pStyle w:val="Heading1"/>
        <w:widowControl/>
      </w:pPr>
      <w:r>
        <w:rPr>
          <w:rFonts w:ascii="Arial" w:hAnsi="Arial" w:eastAsia="Arial" w:cs="Arial"/>
        </w:rPr>
        <w:t>Cómo adaptarlo</w:t>
      </w:r>
    </w:p>
    <w:p>
      <w:pPr>
        <w:widowControl/>
      </w:pPr>
      <w:r>
        <w:rPr>
          <w:rFonts w:ascii="Arial" w:hAnsi="Arial" w:eastAsia="Arial" w:cs="Arial"/>
          <w:sz w:val="22"/>
        </w:rPr>
        <w:t>Conserva 7A solo si ya habías partido el 5 de octubre de 2026 y cada periodo supera cuatro semanas consecutivas. El bloque específico UE/EEE solo procede en un desplazamiento transnacional comprendido en ese régimen, no por el mero destino. Conserva 7B solo si hubo modificaciones anteriores al 5 de octubre de 2026 cuya información escrita sigue pendiente; identifica condiciones y fechas. Mantén ambas opciones si concurren ambos supuestos y elimina las que no procedan. No exijas documentos no previstos para tu caso.</w:t>
      </w:r>
    </w:p>
    <w:p>
      <w:pPr>
        <w:widowControl/>
      </w:pPr>
      <w:r>
        <w:rPr>
          <w:rFonts w:ascii="Arial" w:hAnsi="Arial" w:eastAsia="Arial" w:cs="Arial"/>
          <w:sz w:val="22"/>
        </w:rPr>
        <w:t>La empresa puede facilitar uno o varios documentos complementarios: no tiene que rehacer siempre el contrato. Solo algunas materias permiten una remisión precisa a ley o convenio. Una respuesta sobre condiciones no implica que esas condiciones sean válidas o que renuncies a impugnarlas.</w:t>
      </w:r>
    </w:p>
    <w:p>
      <w:pPr>
        <w:pStyle w:val="Heading1"/>
        <w:widowControl/>
      </w:pPr>
      <w:r>
        <w:rPr>
          <w:rFonts w:ascii="Arial" w:hAnsi="Arial" w:eastAsia="Arial" w:cs="Arial"/>
        </w:rPr>
        <w:t>Entrega y plazos</w:t>
      </w:r>
    </w:p>
    <w:p>
      <w:pPr>
        <w:widowControl/>
      </w:pPr>
      <w:r>
        <w:rPr>
          <w:sz w:val="22"/>
        </w:rPr>
        <w:t>Presenta el escrito por un medio que permita acreditar contenido, fecha y recepción y conserva copia. Las nuevas contrataciones deben recibir la información antes del inicio; los cambios posteriores al 5 de octubre, lo antes posible y, como máximo, el día en que surtan efecto, salvo las remisiones válidas previstas en el artículo 5. No se les aplica este plazo de treinta días. La mera solicitud informativa no paraliza por sí sola los plazos de despido, salarios u otras acciones.</w:t>
      </w:r>
    </w:p>
    <w:p>
      <w:pPr>
        <w:pStyle w:val="Heading1"/>
        <w:widowControl/>
      </w:pPr>
      <w:r>
        <w:rPr>
          <w:rFonts w:ascii="Arial" w:hAnsi="Arial" w:eastAsia="Arial" w:cs="Arial"/>
        </w:rPr>
        <w:t>Fuentes oficiales</w:t>
      </w:r>
    </w:p>
    <w:p>
      <w:pPr>
        <w:widowControl/>
      </w:pPr>
      <w:hyperlink r:id="rId9">
        <w:r>
          <w:rPr>
            <w:color w:val="000000"/>
          </w:rPr>
          <w:t>Real Decreto 723/2026, artículos 2 a 7 y disposición transitoria única, BOE-A-2026-19200</w:t>
        </w:r>
      </w:hyperlink>
    </w:p>
    <w:p>
      <w:pPr>
        <w:widowControl/>
        <w:spacing w:before="200"/>
      </w:pPr>
      <w:r>
        <w:rPr>
          <w:sz w:val="22"/>
        </w:rPr>
        <w:t>Modelo general y orientativo, revisado el 5 de octubre de 2026. Comprueba los hechos y adapta las opciones antes de usarlo. La descarga no envía el escrito ni supone revisión profesional individual.</w:t>
      </w:r>
    </w:p>
    <w:sectPr w:rsidR="00FC693F" w:rsidRPr="0006063C" w:rsidSect="00034616">
      <w:headerReference w:type="default" r:id="rId10"/>
      <w:footerReference w:type="default" r:id="rId11"/>
      <w:pgSz w:w="11906" w:h="16838"/>
      <w:pgMar w:top="1077"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CTAChat" w:history="1" w:tooltip="Orientación por chat de Calma AI. Requiere cuenta.">
      <w:r>
        <w:rPr>
          <w:rFonts w:ascii="Arial" w:hAnsi="Arial" w:eastAsia="Arial" w:cs="Arial"/>
          <w:b w:val="0"/>
          <w:i w:val="0"/>
          <w:color w:val="000000"/>
          <w:sz w:val="17"/>
          <w:szCs w:val="17"/>
          <w:u w:val="single"/>
          <w:lang w:val="es-ES"/>
        </w:rPr>
        <w:t>Consultar a Calma</w:t>
      </w:r>
    </w:hyperlink>
    <w:r>
      <w:rPr>
        <w:rFonts w:ascii="Arial" w:hAnsi="Arial" w:eastAsia="Arial" w:cs="Arial"/>
        <w:b w:val="0"/>
        <w:i w:val="0"/>
        <w:color w:val="000000"/>
        <w:sz w:val="17"/>
        <w:szCs w:val="17"/>
        <w:u w:val="none"/>
        <w:lang w:val="es-ES"/>
      </w:rPr>
      <w:t xml:space="preserve"> · </w:t>
    </w:r>
    <w:hyperlink r:id="rIdCTAProfessional" w:history="1" w:tooltip="Primera consulta laboral gratuita de hasta 15 minutos. Sujeta a las condiciones de la página enlazada; no incluye estudio documental completo.">
      <w:r>
        <w:rPr>
          <w:rFonts w:ascii="Arial" w:hAnsi="Arial" w:eastAsia="Arial" w:cs="Arial"/>
          <w:b w:val="0"/>
          <w:i w:val="0"/>
          <w:color w:val="000000"/>
          <w:sz w:val="17"/>
          <w:szCs w:val="17"/>
          <w:u w:val="single"/>
          <w:lang w:val="es-ES"/>
        </w:rPr>
        <w:t>Primera consulta laboral gratuita</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Arial" w:hAnsi="Arial" w:eastAsia="Arial" w:cs="Arial"/>
        <w:color w:val="000000"/>
        <w:sz w:val="16"/>
      </w:rPr>
      <w:t>CALMA AI · MODELOS LABORALES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r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rPr>
  </w:style>
  <w:style w:type="paragraph" w:styleId="BodyText">
    <w:name w:val="Body Text"/>
    <w:basedOn w:val="Normal"/>
    <w:link w:val="BodyTextChar"/>
    <w:uiPriority w:val="99"/>
    <w:unhideWhenUsed/>
    <w:rsid w:val="00AA1D8D"/>
    <w:pPr>
      <w:spacing w:after="120"/>
    </w:pPr>
    <w:rPr>
      <w:rFonts w:ascii="Arial" w:hAnsi="Arial" w:eastAsia="Arial" w:cs="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rPr>
  </w:style>
  <w:style w:type="paragraph" w:styleId="List2">
    <w:name w:val="List 2"/>
    <w:basedOn w:val="Normal"/>
    <w:uiPriority w:val="99"/>
    <w:unhideWhenUsed/>
    <w:rsid w:val="00326F90"/>
    <w:pPr>
      <w:ind w:left="720" w:hanging="360"/>
      <w:contextualSpacing/>
    </w:pPr>
    <w:rPr>
      <w:rFonts w:ascii="Arial" w:hAnsi="Arial" w:eastAsia="Arial" w:cs="Arial"/>
    </w:rPr>
  </w:style>
  <w:style w:type="paragraph" w:styleId="List3">
    <w:name w:val="List 3"/>
    <w:basedOn w:val="Normal"/>
    <w:uiPriority w:val="99"/>
    <w:unhideWhenUsed/>
    <w:rsid w:val="00326F90"/>
    <w:pPr>
      <w:ind w:left="1080" w:hanging="360"/>
      <w:contextualSpacing/>
    </w:pPr>
    <w:rPr>
      <w:rFonts w:ascii="Arial" w:hAnsi="Arial" w:eastAsia="Arial" w:cs="Arial"/>
    </w:rPr>
  </w:style>
  <w:style w:type="paragraph" w:styleId="ListBullet">
    <w:name w:val="List Bullet"/>
    <w:basedOn w:val="Normal"/>
    <w:uiPriority w:val="99"/>
    <w:unhideWhenUsed/>
    <w:rsid w:val="00326F90"/>
    <w:pPr>
      <w:numPr>
        <w:numId w:val="1"/>
      </w:numPr>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rPr>
      <w:rFonts w:ascii="Arial" w:hAnsi="Arial" w:eastAsia="Arial" w:cs="Arial"/>
    </w:rPr>
  </w:style>
  <w:style w:type="paragraph" w:styleId="ListBullet3">
    <w:name w:val="List Bullet 3"/>
    <w:basedOn w:val="Normal"/>
    <w:uiPriority w:val="99"/>
    <w:unhideWhenUsed/>
    <w:rsid w:val="00326F90"/>
    <w:pPr>
      <w:numPr>
        <w:numId w:val="3"/>
      </w:numPr>
      <w:contextualSpacing/>
    </w:pPr>
    <w:rPr>
      <w:rFonts w:ascii="Arial" w:hAnsi="Arial" w:eastAsia="Arial" w:cs="Arial"/>
    </w:rPr>
  </w:style>
  <w:style w:type="paragraph" w:styleId="ListNumber">
    <w:name w:val="List Number"/>
    <w:basedOn w:val="Normal"/>
    <w:uiPriority w:val="99"/>
    <w:unhideWhenUsed/>
    <w:rsid w:val="00326F90"/>
    <w:pPr>
      <w:numPr>
        <w:numId w:val="5"/>
      </w:numPr>
      <w:contextualSpacing/>
    </w:pPr>
    <w:rPr>
      <w:rFonts w:ascii="Arial" w:hAnsi="Arial" w:eastAsia="Arial" w:cs="Arial"/>
    </w:rPr>
  </w:style>
  <w:style w:type="paragraph" w:styleId="ListNumber2">
    <w:name w:val="List Number 2"/>
    <w:basedOn w:val="Normal"/>
    <w:uiPriority w:val="99"/>
    <w:unhideWhenUsed/>
    <w:rsid w:val="0029639D"/>
    <w:pPr>
      <w:numPr>
        <w:numId w:val="6"/>
      </w:numPr>
      <w:contextualSpacing/>
    </w:pPr>
    <w:rPr>
      <w:rFonts w:ascii="Arial" w:hAnsi="Arial" w:eastAsia="Arial" w:cs="Arial"/>
    </w:rPr>
  </w:style>
  <w:style w:type="paragraph" w:styleId="ListNumber3">
    <w:name w:val="List Number 3"/>
    <w:basedOn w:val="Normal"/>
    <w:uiPriority w:val="99"/>
    <w:unhideWhenUsed/>
    <w:rsid w:val="0029639D"/>
    <w:pPr>
      <w:numPr>
        <w:numId w:val="7"/>
      </w:numPr>
      <w:contextualSpacing/>
    </w:pPr>
    <w:rPr>
      <w:rFonts w:ascii="Arial" w:hAnsi="Arial" w:eastAsia="Arial" w:cs="Arial"/>
    </w:rPr>
  </w:style>
  <w:style w:type="paragraph" w:styleId="ListContinue">
    <w:name w:val="List Continue"/>
    <w:basedOn w:val="Normal"/>
    <w:uiPriority w:val="99"/>
    <w:unhideWhenUsed/>
    <w:rsid w:val="0029639D"/>
    <w:pPr>
      <w:spacing w:after="120"/>
      <w:ind w:left="360"/>
      <w:contextualSpacing/>
    </w:pPr>
    <w:rPr>
      <w:rFonts w:ascii="Arial" w:hAnsi="Arial" w:eastAsia="Arial" w:cs="Arial"/>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r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boe.es/diario_boe/txt.php?id=BOE-A-2026-1920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CTAChat" Type="http://schemas.openxmlformats.org/officeDocument/2006/relationships/hyperlink" Target="https://calmalegal.es/app" TargetMode="External"/><Relationship Id="rIdCTAProfessional" Type="http://schemas.openxmlformats.org/officeDocument/2006/relationships/hyperlink" Target="https://perezburgosabogados.es/abogado-laboral-online/#primera-consulta-gratu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información escrita sobre el contrato de trabajo</dc:title>
  <dc:subject>Modelo laboral para relaciones vigentes el 5 de octubre de 2026</dc:subject>
  <dc:creator/>
  <cp:keywords/>
  <dc:description/>
  <cp:lastModifiedBy/>
  <cp:revision>1</cp:revision>
  <dcterms:created xsi:type="dcterms:W3CDTF">2013-12-23T23:15:00Z</dcterms:created>
  <dcterms:modified xsi:type="dcterms:W3CDTF">2026-09-20T00:00:00Z</dcterms:modified>
  <cp:category/>
</cp:coreProperties>
</file>