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Solicitud sobre saldo inembargable ante la AEAT</w:t>
      </w:r>
    </w:p>
    <w:p>
      <w:pPr>
        <w:pStyle w:val="Heading2"/>
      </w:pPr>
      <w:r>
        <w:t>Destinatario e identificación</w:t>
      </w:r>
    </w:p>
    <w:p>
      <w:r>
        <w:t>Al órgano de recaudación de la AEAT [ÓRGANO]. D./D.ª [NOMBRE], NIF [NIF], actuando [EN NOMBRE PROPIO / REPRESENTACIÓN ACREDITADA], en relación con la diligencia [REFERENCIA], notificada el [FECHA], expone:</w:t>
      </w:r>
    </w:p>
    <w:p>
      <w:pPr>
        <w:pStyle w:val="Heading2"/>
      </w:pPr>
      <w:r>
        <w:t>Traba y origen del dinero</w:t>
      </w:r>
    </w:p>
    <w:p>
      <w:r>
        <w:t>El [FECHA] se retuvieron [IMPORTE] euros en la cuenta [IDENTIFICACIÓN PARCIAL]. El saldo previo era [IMPORTE]. Los ingresos de salario o pensión del periodo [PERIODO] ascienden a [IMPORTE]; su parte inembargable, calculada conforme al artículo 607 LEC y a las pagas aplicables, asciende a [IMPORTE].</w:t>
      </w:r>
    </w:p>
    <w:p>
      <w:r>
        <w:t>El saldo que se solicita liberar procede de [INGRESOS IDENTIFICADOS]. Se acompaña una relación cronológica de abonos, cargos y saldos que permite delimitar [IMPORTE] euros de origen protegido. Otros ingresos y retenciones ya practicadas: [DETALLE].</w:t>
      </w:r>
    </w:p>
    <w:p>
      <w:pPr>
        <w:pStyle w:val="Heading2"/>
      </w:pPr>
      <w:r>
        <w:t>Fundamento y documentación</w:t>
      </w:r>
    </w:p>
    <w:p>
      <w:r>
        <w:t>Se solicita aplicar los artículos 169.5 y 171.3 LGT y 607 LEC, atendiendo al criterio del TEAC sobre conservación de la naturaleza inembargable y prueba de su origen (RG 2088/2024, de 30 de abril de 2026, que recoge RG 1140/2022).</w:t>
      </w:r>
    </w:p>
    <w:p>
      <w:r>
        <w:t>Documentos: [DILIGENCIA Y NOTIFICACIÓN], [EXTRACTOS COMPLETOS DEL PERIODO], [NÓMINAS O PENSIONES], [CÁLCULO Y CUADRO DE MOVIMIENTOS], [RETENCIONES PREVIAS, SI EXISTEN].</w:t>
      </w:r>
    </w:p>
    <w:p>
      <w:pPr>
        <w:pStyle w:val="Heading2"/>
      </w:pPr>
      <w:r>
        <w:t>Solicitud</w:t>
      </w:r>
    </w:p>
    <w:p>
      <w:r>
        <w:t>Solicito que se compruebe la documentación y se acuerde el levantamiento de la traba respecto de [IMPORTE] euros, por su procedencia de cantidades inembargables, con comunicación a la entidad. Si ya se hubiera ingresado el dinero, solicito que se determine la vía procedente para su restitución, sin perjuicio del recurso que corresponda. En [LOCALIDAD], a [FECHA]. Firma: [FIRMA].</w:t>
      </w:r>
    </w:p>
    <w:p>
      <w:r>
        <w:br w:type="page"/>
      </w:r>
    </w:p>
    <w:p>
      <w:pPr>
        <w:pStyle w:val="Title"/>
      </w:pPr>
      <w:r>
        <w:t>Antes de utilizar este documento</w:t>
      </w:r>
    </w:p>
    <w:p>
      <w:pPr>
        <w:pStyle w:val="Subtitle"/>
      </w:pPr>
      <w:r>
        <w:t>Guía de uso · No forma parte del escrito que se entrega</w:t>
      </w:r>
    </w:p>
    <w:p>
      <w:r>
        <w:t>1. Modelo auxiliar solo para una diligencia de embargo de cuentas de la AEAT. No es un impreso oficial, recurso de reposición, reclamación económico-administrativa ni escrito dirigido a un juzgado o a la Seguridad Social.</w:t>
      </w:r>
    </w:p>
    <w:p>
      <w:r>
        <w:t>2. Lee el pie de recursos inmediatamente. Presentar esta solicitud no suspende la ejecución ni interrumpe o amplía el plazo para recurrir. La reposición y la reclamación económico-administrativa tienen, con carácter general, un mes desde el día siguiente a la notificación y no se interponen simultáneamente.</w:t>
      </w:r>
    </w:p>
    <w:p>
      <w:r>
        <w:t>3. No basta con que el saldo sea inferior al SMI. Acredita temporal y cuantitativamente qué parte procede de ingresos protegidos; incluye los movimientos que permitan seguirla y no solo una captura del saldo.</w:t>
      </w:r>
    </w:p>
    <w:p>
      <w:r>
        <w:t>4. En cuentas con dinero de distinto origen puede ser embargable una parte. Si no se distingue la procedencia del remanente, el criterio del TEAC imputa primero los gastos a las cantidades inembargables.</w:t>
      </w:r>
    </w:p>
    <w:p>
      <w:r>
        <w:t>5. Si hay alimentos, varios titulares, retenciones previas, un recurso pendiente o dudas sobre la vía, requiere adaptación profesional. Conserva el registro y no des por estimada la solicitud por haberla presentado.</w:t>
      </w:r>
    </w:p>
    <w:p>
      <w:pPr>
        <w:pStyle w:val="Heading1"/>
      </w:pPr>
      <w:r>
        <w:t>Fuentes oficiales</w:t>
      </w:r>
    </w:p>
    <w:p>
      <w:hyperlink r:id="rId10">
        <w:r>
          <w:rPr>
            <w:color w:val="000000"/>
            <w:u w:val="single"/>
          </w:rPr>
          <w:t>LEC: límites y excepciones del embargo (arts. 588, 607 y 608)</w:t>
        </w:r>
      </w:hyperlink>
    </w:p>
    <w:p>
      <w:hyperlink r:id="rId11">
        <w:r>
          <w:rPr>
            <w:color w:val="000000"/>
            <w:u w:val="single"/>
          </w:rPr>
          <w:t>Ley General Tributaria: embargo y recursos (arts. 170, 171, 223 y 235)</w:t>
        </w:r>
      </w:hyperlink>
    </w:p>
    <w:p>
      <w:hyperlink r:id="rId12">
        <w:r>
          <w:rPr>
            <w:color w:val="000000"/>
            <w:u w:val="single"/>
          </w:rPr>
          <w:t>TEAC, 30 de abril de 2026, RG 2088/2024: saldo protegido y prueba de su origen</w:t>
        </w:r>
      </w:hyperlink>
    </w:p>
    <w:p>
      <w:hyperlink r:id="rId13">
        <w:r>
          <w:rPr>
            <w:color w:val="000000"/>
            <w:u w:val="single"/>
          </w:rPr>
          <w:t>AEAT: consulta y tramitación de diligencias de embargo</w:t>
        </w:r>
      </w:hyperlink>
    </w:p>
    <w:p>
      <w:r>
        <w:t>Modelo auxiliar de Pérez &amp; Burgos Abogados. Revisión editorial: 3 de septiembre de 2026. No es un formulario oficial ni sustituye el examen de hechos, documentos, procedimiento y plazos. Elimina la guía de uso antes de entregar el escrito cuando no sea pertinente.</w:t>
      </w:r>
    </w:p>
    <w:sectPr w:rsidR="00FC693F" w:rsidRPr="0006063C" w:rsidSect="00034616">
      <w:footerReference w:type="default" r:id="rId9"/>
      <w:pgSz w:w="11906" w:h="16838"/>
      <w:pgMar w:top="1134" w:right="1276" w:bottom="1134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rFonts w:ascii="Arial" w:hAnsi="Arial"/>
        <w:sz w:val="16"/>
      </w:rPr>
      <w:t xml:space="preserve">Pérez &amp; Burgos Abogados  ·  Modelo auxiliar  ·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4" w:lineRule="auto" w:after="12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ind w:left="0" w:right="0" w:firstLine="0"/>
      <w:outlineLvl w:val="0"/>
    </w:pPr>
    <w:rPr>
      <w:rFonts w:ascii="Arial" w:hAnsi="Arial"/>
      <w:b/>
      <w:bCs/>
      <w:i w:val="0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ind w:left="0" w:right="0" w:firstLine="0"/>
      <w:outlineLvl w:val="1"/>
    </w:pPr>
    <w:rPr>
      <w:rFonts w:ascii="Arial" w:hAnsi="Arial"/>
      <w:b/>
      <w:bCs/>
      <w:i w:val="0"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 w:before="0"/>
      <w:ind w:left="0" w:right="0" w:firstLine="0"/>
      <w:contextualSpacing/>
    </w:pPr>
    <w:rPr>
      <w:rFonts w:ascii="Arial" w:hAnsi="Arial"/>
      <w:b/>
      <w:i w:val="0"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spacing w:before="200" w:after="100"/>
      <w:ind w:left="0" w:right="0" w:firstLine="0"/>
    </w:pPr>
    <w:rPr>
      <w:rFonts w:ascii="Arial" w:hAnsi="Arial"/>
      <w:b w:val="0"/>
      <w:i w:val="0"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boe.es/buscar/act.php?id=BOE-A-2000-323" TargetMode="External"/><Relationship Id="rId11" Type="http://schemas.openxmlformats.org/officeDocument/2006/relationships/hyperlink" Target="https://www.boe.es/buscar/act.php?id=BOE-A-2003-23186" TargetMode="External"/><Relationship Id="rId12" Type="http://schemas.openxmlformats.org/officeDocument/2006/relationships/hyperlink" Target="https://serviciostelematicosext.hacienda.gob.es/TEAC/DYCTEA/criterio.aspx?id=00/02088/2024/00/0/1" TargetMode="External"/><Relationship Id="rId13" Type="http://schemas.openxmlformats.org/officeDocument/2006/relationships/hyperlink" Target="https://sede.agenciatributaria.gob.es/Sede/recaudacion/consulta-tramitacion-diligencias-embarg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sobre saldo inembargable ante la AEAT</dc:title>
  <dc:subject>Modelo auxiliar no oficial y guía de uso separada</dc:subject>
  <dc:creator>Pérez &amp; Burgos Abogados</dc:creator>
  <cp:keywords>modelo auxiliar; editable; no oficial</cp:keywords>
  <dc:description>generated by python-docx</dc:description>
  <cp:lastModifiedBy/>
  <cp:revision>1</cp:revision>
  <dcterms:created xsi:type="dcterms:W3CDTF">2026-09-03T00:00:00Z</dcterms:created>
  <dcterms:modified xsi:type="dcterms:W3CDTF">2026-09-03T00:00:00Z</dcterms:modified>
  <cp:category/>
</cp:coreProperties>
</file>